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contextualSpacing/>
        <w:outlineLvl w:val="0"/>
        <w:rPr>
          <w:rFonts w:hint="eastAsia" w:ascii="Times New Roman" w:hAnsi="Times New Roman" w:eastAsia="黑体"/>
          <w:sz w:val="32"/>
          <w:szCs w:val="32"/>
        </w:rPr>
      </w:pPr>
      <w:r>
        <w:rPr>
          <w:rFonts w:ascii="Times New Roman" w:hAnsi="Times New Roman" w:eastAsia="黑体"/>
          <w:sz w:val="32"/>
          <w:szCs w:val="32"/>
        </w:rPr>
        <w:t>附件3</w:t>
      </w:r>
    </w:p>
    <w:p>
      <w:pPr>
        <w:contextualSpacing/>
        <w:jc w:val="center"/>
        <w:outlineLvl w:val="0"/>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××××年度省一流学科建设报告</w:t>
      </w:r>
    </w:p>
    <w:p>
      <w:pPr>
        <w:spacing w:line="360" w:lineRule="auto"/>
        <w:jc w:val="center"/>
        <w:rPr>
          <w:rFonts w:ascii="Times New Roman" w:hAnsi="Times New Roman" w:eastAsia="黑体"/>
          <w:sz w:val="24"/>
          <w:szCs w:val="24"/>
        </w:rPr>
      </w:pPr>
      <w:r>
        <w:rPr>
          <w:rFonts w:ascii="Times New Roman" w:hAnsi="Times New Roman" w:eastAsia="黑体"/>
          <w:sz w:val="24"/>
          <w:szCs w:val="24"/>
        </w:rPr>
        <w:t xml:space="preserve"> </w:t>
      </w:r>
    </w:p>
    <w:p>
      <w:pPr>
        <w:spacing w:line="360" w:lineRule="auto"/>
        <w:ind w:firstLine="283" w:firstLineChars="118"/>
        <w:rPr>
          <w:rFonts w:ascii="Times New Roman" w:hAnsi="Times New Roman" w:eastAsia="仿宋"/>
          <w:kern w:val="0"/>
          <w:sz w:val="24"/>
          <w:szCs w:val="24"/>
        </w:rPr>
      </w:pPr>
      <w:r>
        <w:rPr>
          <w:rFonts w:ascii="Times New Roman" w:hAnsi="Times New Roman" w:eastAsia="仿宋"/>
          <w:kern w:val="0"/>
          <w:sz w:val="24"/>
          <w:szCs w:val="24"/>
        </w:rPr>
        <w:t xml:space="preserve">单位名称：__________________（盖章） </w:t>
      </w:r>
    </w:p>
    <w:p>
      <w:pPr>
        <w:spacing w:line="360" w:lineRule="auto"/>
        <w:ind w:firstLine="283" w:firstLineChars="118"/>
        <w:rPr>
          <w:rFonts w:ascii="Times New Roman" w:hAnsi="Times New Roman" w:eastAsia="仿宋"/>
          <w:kern w:val="0"/>
          <w:sz w:val="24"/>
          <w:szCs w:val="24"/>
        </w:rPr>
      </w:pPr>
      <w:r>
        <w:rPr>
          <w:rFonts w:ascii="Times New Roman" w:hAnsi="Times New Roman" w:eastAsia="仿宋"/>
          <w:kern w:val="0"/>
          <w:sz w:val="24"/>
          <w:szCs w:val="24"/>
        </w:rPr>
        <w:t xml:space="preserve">学科名称：__________________            </w:t>
      </w:r>
    </w:p>
    <w:p>
      <w:pPr>
        <w:spacing w:line="360" w:lineRule="auto"/>
        <w:ind w:firstLine="283" w:firstLineChars="118"/>
        <w:rPr>
          <w:rFonts w:ascii="Times New Roman" w:hAnsi="Times New Roman" w:eastAsia="仿宋"/>
          <w:kern w:val="0"/>
          <w:sz w:val="24"/>
          <w:szCs w:val="24"/>
        </w:rPr>
      </w:pPr>
      <w:r>
        <w:rPr>
          <w:rFonts w:ascii="Times New Roman" w:hAnsi="Times New Roman" w:eastAsia="仿宋"/>
          <w:kern w:val="0"/>
          <w:sz w:val="24"/>
          <w:szCs w:val="24"/>
        </w:rPr>
        <w:t>学科类别：</w:t>
      </w:r>
      <w:r>
        <w:rPr>
          <w:rFonts w:ascii="Times New Roman" w:hAnsi="Times New Roman" w:eastAsia="仿宋"/>
          <w:kern w:val="0"/>
          <w:sz w:val="24"/>
          <w:szCs w:val="24"/>
          <w:u w:val="single"/>
        </w:rPr>
        <w:t xml:space="preserve">                  </w:t>
      </w:r>
      <w:r>
        <w:rPr>
          <w:rFonts w:ascii="Times New Roman" w:hAnsi="Times New Roman" w:eastAsia="仿宋"/>
          <w:kern w:val="0"/>
          <w:sz w:val="24"/>
          <w:szCs w:val="24"/>
        </w:rPr>
        <w:t xml:space="preserve">             培养层次：____________</w:t>
      </w:r>
    </w:p>
    <w:p>
      <w:pPr>
        <w:spacing w:line="360" w:lineRule="auto"/>
        <w:ind w:firstLine="283" w:firstLineChars="118"/>
        <w:rPr>
          <w:rFonts w:ascii="Times New Roman" w:hAnsi="Times New Roman" w:eastAsia="仿宋"/>
          <w:kern w:val="0"/>
          <w:sz w:val="24"/>
          <w:szCs w:val="24"/>
        </w:rPr>
      </w:pPr>
      <w:r>
        <w:rPr>
          <w:rFonts w:ascii="Times New Roman" w:hAnsi="Times New Roman" w:eastAsia="仿宋"/>
          <w:kern w:val="0"/>
          <w:sz w:val="24"/>
          <w:szCs w:val="24"/>
        </w:rPr>
        <w:t>学科大类：</w:t>
      </w:r>
      <w:r>
        <w:rPr>
          <w:rFonts w:ascii="Times New Roman" w:hAnsi="Times New Roman" w:eastAsia="仿宋"/>
          <w:kern w:val="0"/>
          <w:sz w:val="24"/>
          <w:szCs w:val="24"/>
          <w:u w:val="single"/>
        </w:rPr>
        <w:t xml:space="preserve">                  </w:t>
      </w:r>
      <w:r>
        <w:rPr>
          <w:rFonts w:ascii="Times New Roman" w:hAnsi="Times New Roman" w:eastAsia="仿宋"/>
          <w:kern w:val="0"/>
          <w:sz w:val="24"/>
          <w:szCs w:val="24"/>
        </w:rPr>
        <w:t xml:space="preserve">           学科负责人：</w:t>
      </w:r>
      <w:r>
        <w:rPr>
          <w:rFonts w:ascii="Times New Roman" w:hAnsi="Times New Roman" w:eastAsia="仿宋"/>
          <w:kern w:val="0"/>
          <w:sz w:val="24"/>
          <w:szCs w:val="24"/>
          <w:u w:val="single"/>
        </w:rPr>
        <w:t xml:space="preserve">            </w:t>
      </w:r>
      <w:r>
        <w:rPr>
          <w:rFonts w:ascii="Times New Roman" w:hAnsi="Times New Roman" w:eastAsia="仿宋"/>
          <w:kern w:val="0"/>
          <w:sz w:val="24"/>
          <w:szCs w:val="24"/>
        </w:rPr>
        <w:t xml:space="preserve">    </w:t>
      </w:r>
    </w:p>
    <w:p>
      <w:pPr>
        <w:spacing w:line="360" w:lineRule="auto"/>
        <w:rPr>
          <w:rFonts w:ascii="Times New Roman" w:hAnsi="Times New Roman" w:eastAsia="仿宋_GB2312"/>
          <w:kern w:val="0"/>
          <w:sz w:val="24"/>
          <w:szCs w:val="24"/>
        </w:rPr>
      </w:pPr>
      <w:r>
        <w:rPr>
          <w:rFonts w:ascii="Times New Roman" w:hAnsi="Times New Roman" w:eastAsia="仿宋_GB2312"/>
          <w:kern w:val="0"/>
          <w:sz w:val="24"/>
          <w:szCs w:val="24"/>
        </w:rPr>
        <w:t xml:space="preserve"> </w:t>
      </w:r>
    </w:p>
    <w:tbl>
      <w:tblPr>
        <w:tblStyle w:val="2"/>
        <w:tblW w:w="0" w:type="auto"/>
        <w:jc w:val="center"/>
        <w:tblLayout w:type="fixed"/>
        <w:tblCellMar>
          <w:top w:w="0" w:type="dxa"/>
          <w:left w:w="108" w:type="dxa"/>
          <w:bottom w:w="0" w:type="dxa"/>
          <w:right w:w="108" w:type="dxa"/>
        </w:tblCellMar>
      </w:tblPr>
      <w:tblGrid>
        <w:gridCol w:w="1277"/>
        <w:gridCol w:w="1662"/>
        <w:gridCol w:w="3455"/>
        <w:gridCol w:w="851"/>
        <w:gridCol w:w="939"/>
        <w:gridCol w:w="851"/>
      </w:tblGrid>
      <w:tr>
        <w:tblPrEx>
          <w:tblCellMar>
            <w:top w:w="0" w:type="dxa"/>
            <w:left w:w="108" w:type="dxa"/>
            <w:bottom w:w="0" w:type="dxa"/>
            <w:right w:w="108" w:type="dxa"/>
          </w:tblCellMar>
        </w:tblPrEx>
        <w:trPr>
          <w:trHeight w:val="4332" w:hRule="atLeast"/>
          <w:jc w:val="center"/>
        </w:trPr>
        <w:tc>
          <w:tcPr>
            <w:tcW w:w="9035" w:type="dxa"/>
            <w:gridSpan w:val="6"/>
            <w:tcBorders>
              <w:top w:val="single" w:color="auto" w:sz="12" w:space="0"/>
              <w:left w:val="single" w:color="auto" w:sz="12" w:space="0"/>
              <w:bottom w:val="single" w:color="auto" w:sz="4" w:space="0"/>
              <w:right w:val="single" w:color="auto" w:sz="12" w:space="0"/>
            </w:tcBorders>
            <w:noWrap w:val="0"/>
            <w:vAlign w:val="top"/>
          </w:tcPr>
          <w:p>
            <w:pPr>
              <w:widowControl/>
              <w:numPr>
                <w:ilvl w:val="0"/>
                <w:numId w:val="1"/>
              </w:numPr>
              <w:snapToGrid w:val="0"/>
              <w:rPr>
                <w:rFonts w:ascii="Times New Roman" w:hAnsi="Times New Roman" w:eastAsia="仿宋_GB2312"/>
                <w:b/>
                <w:bCs/>
                <w:kern w:val="0"/>
                <w:szCs w:val="21"/>
              </w:rPr>
            </w:pPr>
            <w:r>
              <w:rPr>
                <w:rFonts w:ascii="Times New Roman" w:hAnsi="Times New Roman"/>
                <w:b/>
                <w:bCs/>
                <w:kern w:val="0"/>
              </w:rPr>
              <w:t>学科建设实施与负责人履职情况（</w:t>
            </w:r>
            <w:r>
              <w:rPr>
                <w:rFonts w:ascii="Times New Roman" w:hAnsi="Times New Roman" w:eastAsia="仿宋_GB2312"/>
                <w:b/>
                <w:bCs/>
                <w:kern w:val="0"/>
              </w:rPr>
              <w:t>1000</w:t>
            </w:r>
            <w:r>
              <w:rPr>
                <w:rFonts w:ascii="Times New Roman" w:hAnsi="Times New Roman"/>
                <w:b/>
                <w:bCs/>
                <w:kern w:val="0"/>
              </w:rPr>
              <w:t>字以内）</w:t>
            </w:r>
          </w:p>
          <w:p>
            <w:pPr>
              <w:widowControl/>
              <w:snapToGrid w:val="0"/>
              <w:rPr>
                <w:rFonts w:ascii="Times New Roman" w:hAnsi="Times New Roman" w:eastAsia="仿宋_GB2312"/>
                <w:b/>
                <w:bCs/>
                <w:kern w:val="0"/>
              </w:rPr>
            </w:pPr>
          </w:p>
          <w:p>
            <w:pPr>
              <w:widowControl/>
              <w:snapToGrid w:val="0"/>
              <w:rPr>
                <w:rFonts w:ascii="Times New Roman" w:hAnsi="Times New Roman" w:eastAsia="仿宋_GB2312"/>
                <w:b/>
                <w:bCs/>
                <w:kern w:val="0"/>
              </w:rPr>
            </w:pPr>
          </w:p>
          <w:p>
            <w:pPr>
              <w:widowControl/>
              <w:snapToGrid w:val="0"/>
              <w:rPr>
                <w:rFonts w:ascii="Times New Roman" w:hAnsi="Times New Roman" w:eastAsia="仿宋_GB2312"/>
                <w:b/>
                <w:bCs/>
                <w:kern w:val="0"/>
              </w:rPr>
            </w:pPr>
          </w:p>
          <w:p>
            <w:pPr>
              <w:widowControl/>
              <w:snapToGrid w:val="0"/>
              <w:rPr>
                <w:rFonts w:ascii="Times New Roman" w:hAnsi="Times New Roman" w:eastAsia="仿宋_GB2312"/>
                <w:b/>
                <w:bCs/>
                <w:kern w:val="0"/>
              </w:rPr>
            </w:pPr>
          </w:p>
          <w:p>
            <w:pPr>
              <w:widowControl/>
              <w:snapToGrid w:val="0"/>
              <w:rPr>
                <w:rFonts w:ascii="Times New Roman" w:hAnsi="Times New Roman" w:eastAsia="仿宋_GB2312"/>
                <w:b/>
                <w:bCs/>
                <w:kern w:val="0"/>
              </w:rPr>
            </w:pPr>
          </w:p>
          <w:p>
            <w:pPr>
              <w:widowControl/>
              <w:snapToGrid w:val="0"/>
              <w:rPr>
                <w:rFonts w:ascii="Times New Roman" w:hAnsi="Times New Roman" w:eastAsia="仿宋_GB2312"/>
                <w:b/>
                <w:bCs/>
                <w:kern w:val="0"/>
              </w:rPr>
            </w:pPr>
          </w:p>
          <w:p>
            <w:pPr>
              <w:widowControl/>
              <w:snapToGrid w:val="0"/>
              <w:rPr>
                <w:rFonts w:ascii="Times New Roman" w:hAnsi="Times New Roman" w:eastAsia="仿宋_GB2312"/>
                <w:b/>
                <w:bCs/>
                <w:kern w:val="0"/>
              </w:rPr>
            </w:pPr>
          </w:p>
          <w:p>
            <w:pPr>
              <w:widowControl/>
              <w:snapToGrid w:val="0"/>
              <w:rPr>
                <w:rFonts w:ascii="Times New Roman" w:hAnsi="Times New Roman" w:eastAsia="仿宋_GB2312"/>
                <w:b/>
                <w:bCs/>
                <w:kern w:val="0"/>
              </w:rPr>
            </w:pPr>
          </w:p>
          <w:p>
            <w:pPr>
              <w:widowControl/>
              <w:snapToGrid w:val="0"/>
              <w:rPr>
                <w:rFonts w:ascii="Times New Roman" w:hAnsi="Times New Roman" w:eastAsia="仿宋_GB2312"/>
                <w:b/>
                <w:bCs/>
                <w:kern w:val="0"/>
              </w:rPr>
            </w:pPr>
          </w:p>
        </w:tc>
      </w:tr>
      <w:tr>
        <w:tblPrEx>
          <w:tblCellMar>
            <w:top w:w="0" w:type="dxa"/>
            <w:left w:w="108" w:type="dxa"/>
            <w:bottom w:w="0" w:type="dxa"/>
            <w:right w:w="108" w:type="dxa"/>
          </w:tblCellMar>
        </w:tblPrEx>
        <w:trPr>
          <w:trHeight w:val="1701" w:hRule="atLeast"/>
          <w:jc w:val="center"/>
        </w:trPr>
        <w:tc>
          <w:tcPr>
            <w:tcW w:w="9035" w:type="dxa"/>
            <w:gridSpan w:val="6"/>
            <w:tcBorders>
              <w:top w:val="single" w:color="auto" w:sz="4" w:space="0"/>
              <w:left w:val="single" w:color="auto" w:sz="12" w:space="0"/>
              <w:bottom w:val="single" w:color="auto" w:sz="4" w:space="0"/>
              <w:right w:val="single" w:color="auto" w:sz="12" w:space="0"/>
            </w:tcBorders>
            <w:noWrap w:val="0"/>
            <w:vAlign w:val="top"/>
          </w:tcPr>
          <w:p>
            <w:pPr>
              <w:widowControl/>
              <w:snapToGrid w:val="0"/>
              <w:rPr>
                <w:rFonts w:ascii="Times New Roman" w:hAnsi="Times New Roman" w:eastAsia="仿宋_GB2312"/>
                <w:b/>
                <w:bCs/>
                <w:kern w:val="0"/>
              </w:rPr>
            </w:pPr>
            <w:r>
              <w:rPr>
                <w:rFonts w:ascii="Times New Roman" w:hAnsi="Times New Roman"/>
                <w:b/>
                <w:bCs/>
                <w:kern w:val="0"/>
              </w:rPr>
              <w:t>二、重点突破指标清单实现情况</w:t>
            </w:r>
          </w:p>
        </w:tc>
      </w:tr>
      <w:tr>
        <w:tblPrEx>
          <w:tblCellMar>
            <w:top w:w="0" w:type="dxa"/>
            <w:left w:w="108" w:type="dxa"/>
            <w:bottom w:w="0" w:type="dxa"/>
            <w:right w:w="108" w:type="dxa"/>
          </w:tblCellMar>
        </w:tblPrEx>
        <w:trPr>
          <w:trHeight w:val="480" w:hRule="atLeast"/>
          <w:jc w:val="center"/>
        </w:trPr>
        <w:tc>
          <w:tcPr>
            <w:tcW w:w="9035" w:type="dxa"/>
            <w:gridSpan w:val="6"/>
            <w:tcBorders>
              <w:top w:val="single" w:color="auto" w:sz="4" w:space="0"/>
              <w:left w:val="single" w:color="auto" w:sz="12" w:space="0"/>
              <w:bottom w:val="single" w:color="auto" w:sz="12" w:space="0"/>
              <w:right w:val="single" w:color="auto" w:sz="12" w:space="0"/>
            </w:tcBorders>
            <w:noWrap w:val="0"/>
            <w:vAlign w:val="center"/>
          </w:tcPr>
          <w:p>
            <w:pPr>
              <w:widowControl/>
              <w:snapToGrid w:val="0"/>
              <w:rPr>
                <w:rFonts w:ascii="Times New Roman" w:hAnsi="Times New Roman" w:eastAsia="仿宋_GB2312"/>
                <w:b/>
                <w:bCs/>
                <w:kern w:val="0"/>
              </w:rPr>
            </w:pPr>
            <w:r>
              <w:rPr>
                <w:rFonts w:ascii="Times New Roman" w:hAnsi="Times New Roman"/>
                <w:b/>
                <w:bCs/>
                <w:kern w:val="0"/>
              </w:rPr>
              <w:t>三、主要建设指标完成情况</w:t>
            </w:r>
          </w:p>
        </w:tc>
      </w:tr>
      <w:tr>
        <w:tblPrEx>
          <w:tblCellMar>
            <w:top w:w="0" w:type="dxa"/>
            <w:left w:w="108" w:type="dxa"/>
            <w:bottom w:w="0" w:type="dxa"/>
            <w:right w:w="108" w:type="dxa"/>
          </w:tblCellMar>
        </w:tblPrEx>
        <w:trPr>
          <w:trHeight w:val="480" w:hRule="atLeast"/>
          <w:jc w:val="center"/>
        </w:trPr>
        <w:tc>
          <w:tcPr>
            <w:tcW w:w="1277" w:type="dxa"/>
            <w:tcBorders>
              <w:top w:val="single" w:color="auto" w:sz="12" w:space="0"/>
              <w:left w:val="single" w:color="auto" w:sz="12" w:space="0"/>
              <w:bottom w:val="single" w:color="auto" w:sz="6" w:space="0"/>
              <w:right w:val="single" w:color="auto" w:sz="6" w:space="0"/>
            </w:tcBorders>
            <w:noWrap w:val="0"/>
            <w:vAlign w:val="center"/>
          </w:tcPr>
          <w:p>
            <w:pPr>
              <w:widowControl/>
              <w:adjustRightInd w:val="0"/>
              <w:snapToGrid w:val="0"/>
              <w:jc w:val="center"/>
              <w:rPr>
                <w:rFonts w:ascii="Times New Roman" w:hAnsi="Times New Roman" w:eastAsia="仿宋_GB2312"/>
                <w:kern w:val="0"/>
              </w:rPr>
            </w:pPr>
            <w:r>
              <w:rPr>
                <w:rFonts w:ascii="Times New Roman" w:hAnsi="Times New Roman"/>
                <w:kern w:val="0"/>
              </w:rPr>
              <w:t>一级</w:t>
            </w:r>
          </w:p>
          <w:p>
            <w:pPr>
              <w:widowControl/>
              <w:adjustRightInd w:val="0"/>
              <w:snapToGrid w:val="0"/>
              <w:jc w:val="center"/>
              <w:rPr>
                <w:rFonts w:ascii="Times New Roman" w:hAnsi="Times New Roman" w:eastAsia="仿宋_GB2312"/>
                <w:kern w:val="0"/>
              </w:rPr>
            </w:pPr>
            <w:r>
              <w:rPr>
                <w:rFonts w:ascii="Times New Roman" w:hAnsi="Times New Roman"/>
                <w:kern w:val="0"/>
              </w:rPr>
              <w:t>指标</w:t>
            </w:r>
          </w:p>
        </w:tc>
        <w:tc>
          <w:tcPr>
            <w:tcW w:w="1662" w:type="dxa"/>
            <w:tcBorders>
              <w:top w:val="single" w:color="auto" w:sz="12" w:space="0"/>
              <w:left w:val="single" w:color="auto" w:sz="6" w:space="0"/>
              <w:bottom w:val="single" w:color="auto" w:sz="6" w:space="0"/>
              <w:right w:val="single" w:color="auto" w:sz="6" w:space="0"/>
            </w:tcBorders>
            <w:noWrap w:val="0"/>
            <w:vAlign w:val="center"/>
          </w:tcPr>
          <w:p>
            <w:pPr>
              <w:widowControl/>
              <w:adjustRightInd w:val="0"/>
              <w:snapToGrid w:val="0"/>
              <w:jc w:val="center"/>
              <w:rPr>
                <w:rFonts w:ascii="Times New Roman" w:hAnsi="Times New Roman" w:eastAsia="仿宋_GB2312"/>
                <w:kern w:val="0"/>
              </w:rPr>
            </w:pPr>
            <w:r>
              <w:rPr>
                <w:rFonts w:ascii="Times New Roman" w:hAnsi="Times New Roman"/>
                <w:kern w:val="0"/>
              </w:rPr>
              <w:t>二级指标</w:t>
            </w:r>
          </w:p>
        </w:tc>
        <w:tc>
          <w:tcPr>
            <w:tcW w:w="3455" w:type="dxa"/>
            <w:tcBorders>
              <w:top w:val="single" w:color="auto" w:sz="12" w:space="0"/>
              <w:left w:val="single" w:color="auto" w:sz="6" w:space="0"/>
              <w:bottom w:val="single" w:color="auto" w:sz="6" w:space="0"/>
              <w:right w:val="single" w:color="auto" w:sz="6" w:space="0"/>
            </w:tcBorders>
            <w:noWrap w:val="0"/>
            <w:vAlign w:val="center"/>
          </w:tcPr>
          <w:p>
            <w:pPr>
              <w:widowControl/>
              <w:adjustRightInd w:val="0"/>
              <w:snapToGrid w:val="0"/>
              <w:jc w:val="center"/>
              <w:rPr>
                <w:rFonts w:ascii="Times New Roman" w:hAnsi="Times New Roman" w:eastAsia="仿宋_GB2312"/>
                <w:kern w:val="0"/>
              </w:rPr>
            </w:pPr>
            <w:r>
              <w:rPr>
                <w:rFonts w:ascii="Times New Roman" w:hAnsi="Times New Roman"/>
                <w:kern w:val="0"/>
              </w:rPr>
              <w:t>具体指标</w:t>
            </w:r>
          </w:p>
        </w:tc>
        <w:tc>
          <w:tcPr>
            <w:tcW w:w="851" w:type="dxa"/>
            <w:tcBorders>
              <w:top w:val="single" w:color="auto" w:sz="12" w:space="0"/>
              <w:left w:val="single" w:color="auto" w:sz="6" w:space="0"/>
              <w:bottom w:val="single" w:color="auto" w:sz="6" w:space="0"/>
              <w:right w:val="single" w:color="auto" w:sz="6" w:space="0"/>
            </w:tcBorders>
            <w:noWrap w:val="0"/>
            <w:vAlign w:val="center"/>
          </w:tcPr>
          <w:p>
            <w:pPr>
              <w:widowControl/>
              <w:adjustRightInd w:val="0"/>
              <w:snapToGrid w:val="0"/>
              <w:jc w:val="center"/>
              <w:rPr>
                <w:rFonts w:ascii="Times New Roman" w:hAnsi="Times New Roman" w:eastAsia="仿宋_GB2312"/>
                <w:kern w:val="0"/>
              </w:rPr>
            </w:pPr>
            <w:r>
              <w:rPr>
                <w:rFonts w:ascii="Times New Roman" w:hAnsi="Times New Roman"/>
                <w:kern w:val="0"/>
              </w:rPr>
              <w:t>目标值</w:t>
            </w:r>
          </w:p>
        </w:tc>
        <w:tc>
          <w:tcPr>
            <w:tcW w:w="939" w:type="dxa"/>
            <w:tcBorders>
              <w:top w:val="single" w:color="auto" w:sz="12" w:space="0"/>
              <w:left w:val="single" w:color="auto" w:sz="6" w:space="0"/>
              <w:bottom w:val="single" w:color="auto" w:sz="6" w:space="0"/>
              <w:right w:val="single" w:color="auto" w:sz="6" w:space="0"/>
            </w:tcBorders>
            <w:noWrap w:val="0"/>
            <w:vAlign w:val="center"/>
          </w:tcPr>
          <w:p>
            <w:pPr>
              <w:widowControl/>
              <w:adjustRightInd w:val="0"/>
              <w:snapToGrid w:val="0"/>
              <w:jc w:val="center"/>
              <w:rPr>
                <w:rFonts w:ascii="Times New Roman" w:hAnsi="Times New Roman" w:eastAsia="仿宋_GB2312"/>
                <w:kern w:val="0"/>
              </w:rPr>
            </w:pPr>
            <w:r>
              <w:rPr>
                <w:rFonts w:ascii="Times New Roman" w:hAnsi="Times New Roman"/>
                <w:kern w:val="0"/>
              </w:rPr>
              <w:t>年度</w:t>
            </w:r>
          </w:p>
          <w:p>
            <w:pPr>
              <w:widowControl/>
              <w:adjustRightInd w:val="0"/>
              <w:snapToGrid w:val="0"/>
              <w:jc w:val="center"/>
              <w:rPr>
                <w:rFonts w:ascii="Times New Roman" w:hAnsi="Times New Roman" w:eastAsia="仿宋_GB2312"/>
                <w:kern w:val="0"/>
              </w:rPr>
            </w:pPr>
            <w:r>
              <w:rPr>
                <w:rFonts w:ascii="Times New Roman" w:hAnsi="Times New Roman"/>
                <w:kern w:val="0"/>
              </w:rPr>
              <w:t>完成值</w:t>
            </w:r>
          </w:p>
        </w:tc>
        <w:tc>
          <w:tcPr>
            <w:tcW w:w="851" w:type="dxa"/>
            <w:tcBorders>
              <w:top w:val="single" w:color="auto" w:sz="12" w:space="0"/>
              <w:left w:val="single" w:color="auto" w:sz="6" w:space="0"/>
              <w:bottom w:val="single" w:color="auto" w:sz="6" w:space="0"/>
              <w:right w:val="single" w:color="auto" w:sz="12" w:space="0"/>
            </w:tcBorders>
            <w:noWrap w:val="0"/>
            <w:vAlign w:val="center"/>
          </w:tcPr>
          <w:p>
            <w:pPr>
              <w:widowControl/>
              <w:adjustRightInd w:val="0"/>
              <w:snapToGrid w:val="0"/>
              <w:jc w:val="center"/>
              <w:rPr>
                <w:rFonts w:ascii="Times New Roman" w:hAnsi="Times New Roman" w:eastAsia="仿宋_GB2312"/>
                <w:kern w:val="0"/>
              </w:rPr>
            </w:pPr>
            <w:r>
              <w:rPr>
                <w:rFonts w:ascii="Times New Roman" w:hAnsi="Times New Roman"/>
                <w:kern w:val="0"/>
              </w:rPr>
              <w:t>完成率</w:t>
            </w:r>
          </w:p>
          <w:p>
            <w:pPr>
              <w:widowControl/>
              <w:adjustRightInd w:val="0"/>
              <w:snapToGrid w:val="0"/>
              <w:jc w:val="center"/>
              <w:rPr>
                <w:rFonts w:ascii="Times New Roman" w:hAnsi="Times New Roman" w:eastAsia="仿宋_GB2312"/>
                <w:kern w:val="0"/>
              </w:rPr>
            </w:pPr>
            <w:r>
              <w:rPr>
                <w:rFonts w:ascii="Times New Roman" w:hAnsi="Times New Roman"/>
                <w:kern w:val="0"/>
              </w:rPr>
              <w:t>（</w:t>
            </w:r>
            <w:r>
              <w:rPr>
                <w:rFonts w:ascii="Times New Roman" w:hAnsi="Times New Roman" w:eastAsia="仿宋_GB2312"/>
                <w:kern w:val="0"/>
              </w:rPr>
              <w:t>%</w:t>
            </w:r>
            <w:r>
              <w:rPr>
                <w:rFonts w:ascii="Times New Roman" w:hAnsi="Times New Roman"/>
                <w:kern w:val="0"/>
              </w:rPr>
              <w:t>）</w:t>
            </w:r>
          </w:p>
        </w:tc>
      </w:tr>
      <w:tr>
        <w:tblPrEx>
          <w:tblCellMar>
            <w:top w:w="0" w:type="dxa"/>
            <w:left w:w="108" w:type="dxa"/>
            <w:bottom w:w="0" w:type="dxa"/>
            <w:right w:w="108" w:type="dxa"/>
          </w:tblCellMar>
        </w:tblPrEx>
        <w:trPr>
          <w:trHeight w:val="285" w:hRule="atLeast"/>
          <w:jc w:val="center"/>
        </w:trPr>
        <w:tc>
          <w:tcPr>
            <w:tcW w:w="1277" w:type="dxa"/>
            <w:vMerge w:val="restart"/>
            <w:tcBorders>
              <w:top w:val="single" w:color="auto" w:sz="6" w:space="0"/>
              <w:left w:val="single" w:color="auto" w:sz="12" w:space="0"/>
              <w:bottom w:val="single" w:color="auto" w:sz="6" w:space="0"/>
              <w:right w:val="single" w:color="auto" w:sz="6" w:space="0"/>
            </w:tcBorders>
            <w:noWrap w:val="0"/>
            <w:vAlign w:val="center"/>
          </w:tcPr>
          <w:p>
            <w:pPr>
              <w:widowControl/>
              <w:snapToGrid w:val="0"/>
              <w:jc w:val="center"/>
              <w:rPr>
                <w:rFonts w:hint="eastAsia" w:ascii="Times New Roman" w:hAnsi="Times New Roman"/>
                <w:kern w:val="0"/>
              </w:rPr>
            </w:pPr>
            <w:r>
              <w:rPr>
                <w:rFonts w:ascii="Times New Roman" w:hAnsi="Times New Roman"/>
                <w:kern w:val="0"/>
              </w:rPr>
              <w:t>师资队伍</w:t>
            </w:r>
          </w:p>
          <w:p>
            <w:pPr>
              <w:widowControl/>
              <w:snapToGrid w:val="0"/>
              <w:jc w:val="center"/>
              <w:rPr>
                <w:rFonts w:ascii="Times New Roman" w:hAnsi="Times New Roman" w:eastAsia="仿宋_GB2312"/>
                <w:kern w:val="0"/>
              </w:rPr>
            </w:pPr>
            <w:r>
              <w:rPr>
                <w:rFonts w:ascii="Times New Roman" w:hAnsi="Times New Roman"/>
                <w:kern w:val="0"/>
              </w:rPr>
              <w:t>建设</w:t>
            </w:r>
          </w:p>
          <w:p>
            <w:pPr>
              <w:widowControl/>
              <w:snapToGrid w:val="0"/>
              <w:jc w:val="center"/>
              <w:rPr>
                <w:rFonts w:ascii="Times New Roman" w:hAnsi="Times New Roman" w:eastAsia="仿宋_GB2312"/>
                <w:kern w:val="0"/>
              </w:rPr>
            </w:pPr>
            <w:r>
              <w:rPr>
                <w:rFonts w:ascii="Times New Roman" w:hAnsi="Times New Roman"/>
                <w:kern w:val="0"/>
              </w:rPr>
              <w:t>（</w:t>
            </w:r>
            <w:r>
              <w:rPr>
                <w:rFonts w:ascii="Times New Roman" w:hAnsi="Times New Roman" w:eastAsia="仿宋_GB2312"/>
                <w:kern w:val="0"/>
              </w:rPr>
              <w:t>20%</w:t>
            </w:r>
            <w:r>
              <w:rPr>
                <w:rFonts w:ascii="Times New Roman" w:hAnsi="Times New Roman"/>
                <w:kern w:val="0"/>
              </w:rPr>
              <w:t>）</w:t>
            </w:r>
          </w:p>
        </w:tc>
        <w:tc>
          <w:tcPr>
            <w:tcW w:w="1662"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snapToGrid w:val="0"/>
              <w:rPr>
                <w:rFonts w:ascii="Times New Roman" w:hAnsi="Times New Roman" w:eastAsia="仿宋_GB2312"/>
                <w:kern w:val="0"/>
              </w:rPr>
            </w:pPr>
            <w:r>
              <w:rPr>
                <w:rFonts w:ascii="Times New Roman" w:hAnsi="Times New Roman"/>
                <w:kern w:val="0"/>
              </w:rPr>
              <w:t>专任教师人数</w:t>
            </w: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专任教师总数（人）</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restart"/>
            <w:tcBorders>
              <w:top w:val="single" w:color="auto" w:sz="6" w:space="0"/>
              <w:left w:val="single" w:color="auto" w:sz="6" w:space="0"/>
              <w:bottom w:val="single" w:color="auto" w:sz="6" w:space="0"/>
              <w:right w:val="single" w:color="auto" w:sz="12" w:space="0"/>
            </w:tcBorders>
            <w:noWrap w:val="0"/>
            <w:vAlign w:val="center"/>
          </w:tcPr>
          <w:p>
            <w:pPr>
              <w:widowControl/>
              <w:snapToGrid w:val="0"/>
              <w:jc w:val="center"/>
              <w:rPr>
                <w:rFonts w:ascii="Times New Roman" w:hAnsi="Times New Roman" w:eastAsia="仿宋_GB2312"/>
                <w:kern w:val="0"/>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ind w:firstLine="210" w:firstLineChars="100"/>
              <w:jc w:val="left"/>
              <w:rPr>
                <w:rFonts w:ascii="Times New Roman" w:hAnsi="Times New Roman" w:eastAsia="仿宋_GB2312"/>
                <w:kern w:val="0"/>
              </w:rPr>
            </w:pPr>
            <w:r>
              <w:rPr>
                <w:rFonts w:ascii="Times New Roman" w:hAnsi="Times New Roman"/>
                <w:kern w:val="0"/>
              </w:rPr>
              <w:t>其中：国家级人才（人）</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ind w:firstLine="210" w:firstLineChars="100"/>
              <w:jc w:val="left"/>
              <w:rPr>
                <w:rFonts w:ascii="Times New Roman" w:hAnsi="Times New Roman" w:eastAsia="仿宋_GB2312"/>
                <w:kern w:val="0"/>
              </w:rPr>
            </w:pPr>
            <w:r>
              <w:rPr>
                <w:rFonts w:ascii="Times New Roman" w:hAnsi="Times New Roman"/>
                <w:kern w:val="0"/>
              </w:rPr>
              <w:t>其中：省级人才（人）</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snapToGrid w:val="0"/>
              <w:rPr>
                <w:rFonts w:ascii="Times New Roman" w:hAnsi="Times New Roman" w:eastAsia="仿宋_GB2312"/>
                <w:kern w:val="0"/>
              </w:rPr>
            </w:pPr>
            <w:r>
              <w:rPr>
                <w:rFonts w:ascii="Times New Roman" w:hAnsi="Times New Roman"/>
                <w:kern w:val="0"/>
              </w:rPr>
              <w:t>专任教师结构</w:t>
            </w: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博士学位教师占比（</w:t>
            </w:r>
            <w:r>
              <w:rPr>
                <w:rFonts w:ascii="Times New Roman" w:hAnsi="Times New Roman" w:eastAsia="仿宋_GB2312"/>
                <w:kern w:val="0"/>
              </w:rPr>
              <w:t>%</w:t>
            </w:r>
            <w:r>
              <w:rPr>
                <w:rFonts w:ascii="Times New Roman" w:hAnsi="Times New Roman"/>
                <w:kern w:val="0"/>
              </w:rPr>
              <w:t>）</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eastAsia="仿宋_GB2312"/>
                <w:kern w:val="0"/>
              </w:rPr>
              <w:t>45</w:t>
            </w:r>
            <w:r>
              <w:rPr>
                <w:rFonts w:ascii="Times New Roman" w:hAnsi="Times New Roman"/>
                <w:kern w:val="0"/>
              </w:rPr>
              <w:t>周岁以下青年教师占比（</w:t>
            </w:r>
            <w:r>
              <w:rPr>
                <w:rFonts w:ascii="Times New Roman" w:hAnsi="Times New Roman" w:eastAsia="仿宋_GB2312"/>
                <w:kern w:val="0"/>
              </w:rPr>
              <w:t>%</w:t>
            </w:r>
            <w:r>
              <w:rPr>
                <w:rFonts w:ascii="Times New Roman" w:hAnsi="Times New Roman"/>
                <w:kern w:val="0"/>
              </w:rPr>
              <w:t>）</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tcBorders>
              <w:top w:val="single" w:color="auto" w:sz="6" w:space="0"/>
              <w:left w:val="single" w:color="auto" w:sz="6" w:space="0"/>
              <w:bottom w:val="single" w:color="auto" w:sz="6" w:space="0"/>
              <w:right w:val="single" w:color="auto" w:sz="6" w:space="0"/>
            </w:tcBorders>
            <w:noWrap w:val="0"/>
            <w:vAlign w:val="center"/>
          </w:tcPr>
          <w:p>
            <w:pPr>
              <w:widowControl/>
              <w:snapToGrid w:val="0"/>
              <w:rPr>
                <w:rFonts w:ascii="Times New Roman" w:hAnsi="Times New Roman" w:eastAsia="仿宋_GB2312"/>
                <w:kern w:val="0"/>
              </w:rPr>
            </w:pPr>
            <w:r>
              <w:rPr>
                <w:rFonts w:ascii="Times New Roman" w:hAnsi="Times New Roman"/>
                <w:kern w:val="0"/>
              </w:rPr>
              <w:t>团队</w:t>
            </w: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省部级及以上创新团队数（个）</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tcBorders>
              <w:top w:val="single" w:color="auto" w:sz="6" w:space="0"/>
              <w:left w:val="single" w:color="auto" w:sz="6" w:space="0"/>
              <w:bottom w:val="single" w:color="auto" w:sz="6" w:space="0"/>
              <w:right w:val="single" w:color="auto" w:sz="6" w:space="0"/>
            </w:tcBorders>
            <w:noWrap w:val="0"/>
            <w:vAlign w:val="center"/>
          </w:tcPr>
          <w:p>
            <w:pPr>
              <w:widowControl/>
              <w:snapToGrid w:val="0"/>
              <w:rPr>
                <w:rFonts w:ascii="Times New Roman" w:hAnsi="Times New Roman" w:eastAsia="仿宋_GB2312"/>
                <w:kern w:val="0"/>
              </w:rPr>
            </w:pPr>
            <w:r>
              <w:rPr>
                <w:rFonts w:ascii="Times New Roman" w:hAnsi="Times New Roman"/>
                <w:kern w:val="0"/>
              </w:rPr>
              <w:t>自设指标</w:t>
            </w: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restart"/>
            <w:tcBorders>
              <w:top w:val="single" w:color="auto" w:sz="6" w:space="0"/>
              <w:left w:val="single" w:color="auto" w:sz="12" w:space="0"/>
              <w:bottom w:val="single" w:color="auto" w:sz="6" w:space="0"/>
              <w:right w:val="single" w:color="auto" w:sz="6" w:space="0"/>
            </w:tcBorders>
            <w:noWrap w:val="0"/>
            <w:vAlign w:val="center"/>
          </w:tcPr>
          <w:p>
            <w:pPr>
              <w:snapToGrid w:val="0"/>
              <w:jc w:val="left"/>
              <w:rPr>
                <w:rFonts w:ascii="Times New Roman" w:hAnsi="Times New Roman" w:eastAsia="仿宋_GB2312"/>
                <w:kern w:val="0"/>
              </w:rPr>
            </w:pPr>
            <w:r>
              <w:rPr>
                <w:rFonts w:ascii="Times New Roman" w:hAnsi="Times New Roman"/>
                <w:kern w:val="0"/>
              </w:rPr>
              <w:t>人才培养</w:t>
            </w:r>
          </w:p>
          <w:p>
            <w:pPr>
              <w:snapToGrid w:val="0"/>
              <w:jc w:val="left"/>
              <w:rPr>
                <w:rFonts w:ascii="Times New Roman" w:hAnsi="Times New Roman" w:eastAsia="仿宋_GB2312"/>
                <w:kern w:val="0"/>
              </w:rPr>
            </w:pPr>
            <w:r>
              <w:rPr>
                <w:rFonts w:ascii="Times New Roman" w:hAnsi="Times New Roman"/>
                <w:kern w:val="0"/>
              </w:rPr>
              <w:t>（</w:t>
            </w:r>
            <w:r>
              <w:rPr>
                <w:rFonts w:ascii="Times New Roman" w:hAnsi="Times New Roman" w:eastAsia="仿宋_GB2312"/>
                <w:kern w:val="0"/>
              </w:rPr>
              <w:t>25%</w:t>
            </w:r>
            <w:r>
              <w:rPr>
                <w:rFonts w:ascii="Times New Roman" w:hAnsi="Times New Roman"/>
                <w:kern w:val="0"/>
              </w:rPr>
              <w:t>）</w:t>
            </w:r>
          </w:p>
        </w:tc>
        <w:tc>
          <w:tcPr>
            <w:tcW w:w="1662"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snapToGrid w:val="0"/>
              <w:rPr>
                <w:rFonts w:ascii="Times New Roman" w:hAnsi="Times New Roman" w:eastAsia="仿宋_GB2312"/>
                <w:kern w:val="0"/>
              </w:rPr>
            </w:pPr>
            <w:r>
              <w:rPr>
                <w:rFonts w:ascii="Times New Roman" w:hAnsi="Times New Roman"/>
                <w:kern w:val="0"/>
              </w:rPr>
              <w:t>教学平台</w:t>
            </w: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国家教学平台（个）</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restart"/>
            <w:tcBorders>
              <w:top w:val="single" w:color="auto" w:sz="6" w:space="0"/>
              <w:left w:val="single" w:color="auto" w:sz="6" w:space="0"/>
              <w:bottom w:val="single" w:color="auto" w:sz="6" w:space="0"/>
              <w:right w:val="single" w:color="auto" w:sz="12" w:space="0"/>
            </w:tcBorders>
            <w:noWrap w:val="0"/>
            <w:vAlign w:val="center"/>
          </w:tcPr>
          <w:p>
            <w:pPr>
              <w:widowControl/>
              <w:snapToGrid w:val="0"/>
              <w:jc w:val="center"/>
              <w:rPr>
                <w:rFonts w:ascii="Times New Roman" w:hAnsi="Times New Roman" w:eastAsia="仿宋_GB2312"/>
                <w:kern w:val="0"/>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省级教学平台数（个）</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本科生教育</w:t>
            </w: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学生在核心及以上期刊（浙大标准）发表论文数（篇）</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本科生读研率（</w:t>
            </w:r>
            <w:r>
              <w:rPr>
                <w:rFonts w:ascii="Times New Roman" w:hAnsi="Times New Roman" w:eastAsia="仿宋_GB2312"/>
                <w:kern w:val="0"/>
              </w:rPr>
              <w:t>%</w:t>
            </w:r>
            <w:r>
              <w:rPr>
                <w:rFonts w:ascii="Times New Roman" w:hAnsi="Times New Roman"/>
                <w:kern w:val="0"/>
              </w:rPr>
              <w:t>）</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研究生教育</w:t>
            </w: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研究生以第一作者在</w:t>
            </w:r>
            <w:r>
              <w:rPr>
                <w:rFonts w:ascii="Times New Roman" w:hAnsi="Times New Roman" w:eastAsia="仿宋_GB2312"/>
                <w:kern w:val="0"/>
              </w:rPr>
              <w:t>SCI</w:t>
            </w:r>
            <w:r>
              <w:rPr>
                <w:rFonts w:ascii="Times New Roman" w:hAnsi="Times New Roman"/>
                <w:kern w:val="0"/>
              </w:rPr>
              <w:t>、</w:t>
            </w:r>
            <w:r>
              <w:rPr>
                <w:rFonts w:ascii="Times New Roman" w:hAnsi="Times New Roman" w:eastAsia="仿宋_GB2312"/>
                <w:kern w:val="0"/>
              </w:rPr>
              <w:t>SSCI</w:t>
            </w:r>
            <w:r>
              <w:rPr>
                <w:rFonts w:ascii="Times New Roman" w:hAnsi="Times New Roman"/>
                <w:kern w:val="0"/>
              </w:rPr>
              <w:t>、</w:t>
            </w:r>
            <w:r>
              <w:rPr>
                <w:rFonts w:ascii="Times New Roman" w:hAnsi="Times New Roman" w:eastAsia="仿宋_GB2312"/>
                <w:kern w:val="0"/>
              </w:rPr>
              <w:t>EI</w:t>
            </w:r>
            <w:r>
              <w:rPr>
                <w:rFonts w:ascii="Times New Roman" w:hAnsi="Times New Roman"/>
                <w:kern w:val="0"/>
              </w:rPr>
              <w:t>、</w:t>
            </w:r>
            <w:r>
              <w:rPr>
                <w:rFonts w:ascii="Times New Roman" w:hAnsi="Times New Roman" w:eastAsia="仿宋_GB2312"/>
                <w:kern w:val="0"/>
              </w:rPr>
              <w:t>MEDLINE</w:t>
            </w:r>
            <w:r>
              <w:rPr>
                <w:rFonts w:ascii="Times New Roman" w:hAnsi="Times New Roman"/>
                <w:kern w:val="0"/>
              </w:rPr>
              <w:t>、</w:t>
            </w:r>
            <w:r>
              <w:rPr>
                <w:rFonts w:ascii="Times New Roman" w:hAnsi="Times New Roman" w:eastAsia="仿宋_GB2312"/>
                <w:kern w:val="0"/>
              </w:rPr>
              <w:t xml:space="preserve">A&amp;HCI </w:t>
            </w:r>
            <w:r>
              <w:rPr>
                <w:rFonts w:ascii="Times New Roman" w:hAnsi="Times New Roman"/>
                <w:kern w:val="0"/>
              </w:rPr>
              <w:t>、</w:t>
            </w:r>
            <w:r>
              <w:rPr>
                <w:rFonts w:ascii="Times New Roman" w:hAnsi="Times New Roman" w:eastAsia="仿宋_GB2312"/>
                <w:kern w:val="0"/>
              </w:rPr>
              <w:t>CSCD</w:t>
            </w:r>
            <w:r>
              <w:rPr>
                <w:rFonts w:ascii="Times New Roman" w:hAnsi="Times New Roman"/>
                <w:kern w:val="0"/>
              </w:rPr>
              <w:t>、</w:t>
            </w:r>
            <w:r>
              <w:rPr>
                <w:rFonts w:ascii="Times New Roman" w:hAnsi="Times New Roman" w:eastAsia="仿宋_GB2312"/>
                <w:kern w:val="0"/>
              </w:rPr>
              <w:t>CSSCI</w:t>
            </w:r>
            <w:r>
              <w:rPr>
                <w:rFonts w:ascii="Times New Roman" w:hAnsi="Times New Roman"/>
                <w:kern w:val="0"/>
              </w:rPr>
              <w:t>收录期刊及在国内一级及以上期刊（浙大标准）发表论文数（篇）</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研究生学位论文抽检优良率（</w:t>
            </w:r>
            <w:r>
              <w:rPr>
                <w:rFonts w:ascii="Times New Roman" w:hAnsi="Times New Roman" w:eastAsia="仿宋_GB2312"/>
                <w:kern w:val="0"/>
              </w:rPr>
              <w:t>%</w:t>
            </w:r>
            <w:r>
              <w:rPr>
                <w:rFonts w:ascii="Times New Roman" w:hAnsi="Times New Roman"/>
                <w:kern w:val="0"/>
              </w:rPr>
              <w:t>）</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教学成果与奖励</w:t>
            </w: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国家教学成果奖（项）</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省级教学成果奖（项）</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国家精品在线开放课程（门）</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国家级规划教材（部）</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省部级及以上学科竞赛奖励（项）</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自设指标</w:t>
            </w: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restart"/>
            <w:tcBorders>
              <w:top w:val="single" w:color="auto" w:sz="6" w:space="0"/>
              <w:left w:val="single" w:color="auto" w:sz="12"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r>
              <w:rPr>
                <w:rFonts w:ascii="Times New Roman" w:hAnsi="Times New Roman"/>
                <w:kern w:val="0"/>
              </w:rPr>
              <w:t>科学研究与社会服务</w:t>
            </w:r>
          </w:p>
          <w:p>
            <w:pPr>
              <w:widowControl/>
              <w:snapToGrid w:val="0"/>
              <w:jc w:val="center"/>
              <w:rPr>
                <w:rFonts w:ascii="Times New Roman" w:hAnsi="Times New Roman" w:eastAsia="仿宋_GB2312"/>
                <w:kern w:val="0"/>
              </w:rPr>
            </w:pPr>
            <w:r>
              <w:rPr>
                <w:rFonts w:ascii="Times New Roman" w:hAnsi="Times New Roman"/>
                <w:kern w:val="0"/>
              </w:rPr>
              <w:t>（</w:t>
            </w:r>
            <w:r>
              <w:rPr>
                <w:rFonts w:ascii="Times New Roman" w:hAnsi="Times New Roman" w:eastAsia="仿宋_GB2312"/>
                <w:kern w:val="0"/>
              </w:rPr>
              <w:t>25%</w:t>
            </w:r>
            <w:r>
              <w:rPr>
                <w:rFonts w:ascii="Times New Roman" w:hAnsi="Times New Roman"/>
                <w:kern w:val="0"/>
              </w:rPr>
              <w:t>）</w:t>
            </w:r>
          </w:p>
        </w:tc>
        <w:tc>
          <w:tcPr>
            <w:tcW w:w="1662"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snapToGrid w:val="0"/>
              <w:rPr>
                <w:rFonts w:ascii="Times New Roman" w:hAnsi="Times New Roman" w:eastAsia="仿宋_GB2312"/>
                <w:kern w:val="0"/>
              </w:rPr>
            </w:pPr>
            <w:r>
              <w:rPr>
                <w:rFonts w:ascii="Times New Roman" w:hAnsi="Times New Roman"/>
                <w:kern w:val="0"/>
              </w:rPr>
              <w:t>科研平台</w:t>
            </w: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国家级科研创新平台数（个）</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restart"/>
            <w:tcBorders>
              <w:top w:val="single" w:color="auto" w:sz="6" w:space="0"/>
              <w:left w:val="single" w:color="auto" w:sz="6" w:space="0"/>
              <w:bottom w:val="single" w:color="auto" w:sz="6" w:space="0"/>
              <w:right w:val="single" w:color="auto" w:sz="12" w:space="0"/>
            </w:tcBorders>
            <w:noWrap w:val="0"/>
            <w:vAlign w:val="center"/>
          </w:tcPr>
          <w:p>
            <w:pPr>
              <w:widowControl/>
              <w:snapToGrid w:val="0"/>
              <w:jc w:val="center"/>
              <w:rPr>
                <w:rFonts w:ascii="Times New Roman" w:hAnsi="Times New Roman" w:eastAsia="仿宋_GB2312"/>
                <w:kern w:val="0"/>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省部级科研创新平台数（个）</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snapToGrid w:val="0"/>
              <w:rPr>
                <w:rFonts w:ascii="Times New Roman" w:hAnsi="Times New Roman" w:eastAsia="仿宋_GB2312"/>
                <w:kern w:val="0"/>
              </w:rPr>
            </w:pPr>
            <w:r>
              <w:rPr>
                <w:rFonts w:ascii="Times New Roman" w:hAnsi="Times New Roman"/>
                <w:kern w:val="0"/>
              </w:rPr>
              <w:t>科研项目与经费</w:t>
            </w: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主持国家级科研项目数（项）</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ind w:firstLine="210" w:firstLineChars="100"/>
              <w:jc w:val="left"/>
              <w:rPr>
                <w:rFonts w:ascii="Times New Roman" w:hAnsi="Times New Roman" w:eastAsia="仿宋_GB2312"/>
                <w:kern w:val="0"/>
              </w:rPr>
            </w:pPr>
            <w:r>
              <w:rPr>
                <w:rFonts w:ascii="Times New Roman" w:hAnsi="Times New Roman"/>
                <w:kern w:val="0"/>
              </w:rPr>
              <w:t>其中：重点、重大项目数（项）</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90"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主持省部级科研项目数（项）</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ind w:firstLine="210" w:firstLineChars="100"/>
              <w:jc w:val="left"/>
              <w:rPr>
                <w:rFonts w:ascii="Times New Roman" w:hAnsi="Times New Roman" w:eastAsia="仿宋_GB2312"/>
                <w:kern w:val="0"/>
              </w:rPr>
            </w:pPr>
            <w:r>
              <w:rPr>
                <w:rFonts w:ascii="Times New Roman" w:hAnsi="Times New Roman"/>
                <w:kern w:val="0"/>
              </w:rPr>
              <w:t>其中：重点、重大项目数（项）</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师均科研经费（万元）</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snapToGrid w:val="0"/>
              <w:rPr>
                <w:rFonts w:ascii="Times New Roman" w:hAnsi="Times New Roman" w:eastAsia="仿宋_GB2312"/>
                <w:kern w:val="0"/>
              </w:rPr>
            </w:pPr>
            <w:r>
              <w:rPr>
                <w:rFonts w:ascii="Times New Roman" w:hAnsi="Times New Roman"/>
                <w:kern w:val="0"/>
              </w:rPr>
              <w:t>科研成果</w:t>
            </w: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在</w:t>
            </w:r>
            <w:r>
              <w:rPr>
                <w:rFonts w:ascii="Times New Roman" w:hAnsi="Times New Roman" w:eastAsia="仿宋_GB2312"/>
                <w:kern w:val="0"/>
              </w:rPr>
              <w:t>SCI</w:t>
            </w:r>
            <w:r>
              <w:rPr>
                <w:rFonts w:ascii="Times New Roman" w:hAnsi="Times New Roman"/>
                <w:kern w:val="0"/>
              </w:rPr>
              <w:t>、</w:t>
            </w:r>
            <w:r>
              <w:rPr>
                <w:rFonts w:ascii="Times New Roman" w:hAnsi="Times New Roman" w:eastAsia="仿宋_GB2312"/>
                <w:kern w:val="0"/>
              </w:rPr>
              <w:t>SSCI</w:t>
            </w:r>
            <w:r>
              <w:rPr>
                <w:rFonts w:ascii="Times New Roman" w:hAnsi="Times New Roman"/>
                <w:kern w:val="0"/>
              </w:rPr>
              <w:t>、</w:t>
            </w:r>
            <w:r>
              <w:rPr>
                <w:rFonts w:ascii="Times New Roman" w:hAnsi="Times New Roman" w:eastAsia="仿宋_GB2312"/>
                <w:kern w:val="0"/>
              </w:rPr>
              <w:t>EI</w:t>
            </w:r>
            <w:r>
              <w:rPr>
                <w:rFonts w:ascii="Times New Roman" w:hAnsi="Times New Roman"/>
                <w:kern w:val="0"/>
              </w:rPr>
              <w:t>、</w:t>
            </w:r>
            <w:r>
              <w:rPr>
                <w:rFonts w:ascii="Times New Roman" w:hAnsi="Times New Roman" w:eastAsia="仿宋_GB2312"/>
                <w:kern w:val="0"/>
              </w:rPr>
              <w:t>MEDLINE</w:t>
            </w:r>
            <w:r>
              <w:rPr>
                <w:rFonts w:ascii="Times New Roman" w:hAnsi="Times New Roman"/>
                <w:kern w:val="0"/>
              </w:rPr>
              <w:t>、</w:t>
            </w:r>
            <w:r>
              <w:rPr>
                <w:rFonts w:ascii="Times New Roman" w:hAnsi="Times New Roman" w:eastAsia="仿宋_GB2312"/>
                <w:kern w:val="0"/>
              </w:rPr>
              <w:t>A&amp;HCI</w:t>
            </w:r>
            <w:r>
              <w:rPr>
                <w:rFonts w:ascii="Times New Roman" w:hAnsi="Times New Roman"/>
                <w:kern w:val="0"/>
              </w:rPr>
              <w:t>、</w:t>
            </w:r>
            <w:r>
              <w:rPr>
                <w:rFonts w:ascii="Times New Roman" w:hAnsi="Times New Roman" w:eastAsia="仿宋_GB2312"/>
                <w:kern w:val="0"/>
              </w:rPr>
              <w:t>CSCD</w:t>
            </w:r>
            <w:r>
              <w:rPr>
                <w:rFonts w:ascii="Times New Roman" w:hAnsi="Times New Roman"/>
                <w:kern w:val="0"/>
              </w:rPr>
              <w:t>、</w:t>
            </w:r>
            <w:r>
              <w:rPr>
                <w:rFonts w:ascii="Times New Roman" w:hAnsi="Times New Roman" w:eastAsia="仿宋_GB2312"/>
                <w:kern w:val="0"/>
              </w:rPr>
              <w:t>CSSCI</w:t>
            </w:r>
            <w:r>
              <w:rPr>
                <w:rFonts w:ascii="Times New Roman" w:hAnsi="Times New Roman"/>
                <w:kern w:val="0"/>
              </w:rPr>
              <w:t>收录期刊和一级期刊（浙大标准）及以上期刊发表论文数（篇）</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ind w:firstLine="210" w:firstLineChars="100"/>
              <w:jc w:val="left"/>
              <w:rPr>
                <w:rFonts w:ascii="Times New Roman" w:hAnsi="Times New Roman" w:eastAsia="仿宋_GB2312"/>
                <w:kern w:val="0"/>
              </w:rPr>
            </w:pPr>
            <w:r>
              <w:rPr>
                <w:rFonts w:ascii="Times New Roman" w:hAnsi="Times New Roman"/>
                <w:kern w:val="0"/>
              </w:rPr>
              <w:t>其中：国内权威期刊论文数（浙大版，篇）</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ind w:firstLine="210" w:firstLineChars="100"/>
              <w:jc w:val="left"/>
              <w:rPr>
                <w:rFonts w:ascii="Times New Roman" w:hAnsi="Times New Roman" w:eastAsia="仿宋_GB2312"/>
                <w:kern w:val="0"/>
              </w:rPr>
            </w:pPr>
            <w:r>
              <w:rPr>
                <w:rFonts w:ascii="Times New Roman" w:hAnsi="Times New Roman"/>
                <w:kern w:val="0"/>
              </w:rPr>
              <w:t>其中：</w:t>
            </w:r>
            <w:r>
              <w:rPr>
                <w:rFonts w:ascii="Times New Roman" w:hAnsi="Times New Roman" w:eastAsia="仿宋_GB2312"/>
                <w:kern w:val="0"/>
              </w:rPr>
              <w:t>SCI top</w:t>
            </w:r>
            <w:r>
              <w:rPr>
                <w:rFonts w:ascii="Times New Roman" w:hAnsi="Times New Roman"/>
                <w:kern w:val="0"/>
              </w:rPr>
              <w:t>收录期刊论文数（篇）</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出版著作（部）</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授权发明专利（件）</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snapToGrid w:val="0"/>
              <w:rPr>
                <w:rFonts w:ascii="Times New Roman" w:hAnsi="Times New Roman" w:eastAsia="仿宋_GB2312"/>
                <w:kern w:val="0"/>
              </w:rPr>
            </w:pPr>
            <w:r>
              <w:rPr>
                <w:rFonts w:ascii="Times New Roman" w:hAnsi="Times New Roman"/>
                <w:kern w:val="0"/>
              </w:rPr>
              <w:t>成果奖励</w:t>
            </w: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获国家级成果奖励（项）</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获省部级成果奖励（项）</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ind w:firstLine="210" w:firstLineChars="100"/>
              <w:jc w:val="left"/>
              <w:rPr>
                <w:rFonts w:ascii="Times New Roman" w:hAnsi="Times New Roman" w:eastAsia="仿宋_GB2312"/>
                <w:kern w:val="0"/>
              </w:rPr>
            </w:pPr>
            <w:r>
              <w:rPr>
                <w:rFonts w:ascii="Times New Roman" w:hAnsi="Times New Roman"/>
                <w:kern w:val="0"/>
              </w:rPr>
              <w:t>其中：一等奖（项）</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snapToGrid w:val="0"/>
              <w:rPr>
                <w:rFonts w:ascii="Times New Roman" w:hAnsi="Times New Roman" w:eastAsia="仿宋_GB2312"/>
                <w:kern w:val="0"/>
              </w:rPr>
            </w:pPr>
            <w:r>
              <w:rPr>
                <w:rFonts w:ascii="Times New Roman" w:hAnsi="Times New Roman"/>
                <w:kern w:val="0"/>
              </w:rPr>
              <w:t>社会服务</w:t>
            </w: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横向课题到款经费（万元）</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横向课题项目个数（个）</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产学研平台（个）</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科技成果转化收入（万元）</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自设指标</w:t>
            </w: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restart"/>
            <w:tcBorders>
              <w:top w:val="single" w:color="auto" w:sz="6" w:space="0"/>
              <w:left w:val="single" w:color="auto" w:sz="12"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学科影响力</w:t>
            </w:r>
          </w:p>
          <w:p>
            <w:pPr>
              <w:widowControl/>
              <w:snapToGrid w:val="0"/>
              <w:jc w:val="left"/>
              <w:rPr>
                <w:rFonts w:ascii="Times New Roman" w:hAnsi="Times New Roman" w:eastAsia="仿宋_GB2312"/>
                <w:kern w:val="0"/>
              </w:rPr>
            </w:pPr>
            <w:r>
              <w:rPr>
                <w:rFonts w:ascii="Times New Roman" w:hAnsi="Times New Roman"/>
                <w:kern w:val="0"/>
              </w:rPr>
              <w:t>（</w:t>
            </w:r>
            <w:r>
              <w:rPr>
                <w:rFonts w:ascii="Times New Roman" w:hAnsi="Times New Roman" w:eastAsia="仿宋_GB2312"/>
                <w:kern w:val="0"/>
              </w:rPr>
              <w:t>15%</w:t>
            </w:r>
            <w:r>
              <w:rPr>
                <w:rFonts w:ascii="Times New Roman" w:hAnsi="Times New Roman"/>
                <w:kern w:val="0"/>
              </w:rPr>
              <w:t>）</w:t>
            </w:r>
          </w:p>
        </w:tc>
        <w:tc>
          <w:tcPr>
            <w:tcW w:w="1662"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snapToGrid w:val="0"/>
              <w:rPr>
                <w:rFonts w:ascii="Times New Roman" w:hAnsi="Times New Roman" w:eastAsia="仿宋_GB2312"/>
                <w:kern w:val="0"/>
              </w:rPr>
            </w:pPr>
            <w:r>
              <w:rPr>
                <w:rFonts w:ascii="Times New Roman" w:hAnsi="Times New Roman"/>
                <w:kern w:val="0"/>
              </w:rPr>
              <w:t>学科排名</w:t>
            </w: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教育部学位中心学科评估排名</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restart"/>
            <w:tcBorders>
              <w:top w:val="single" w:color="auto" w:sz="6" w:space="0"/>
              <w:left w:val="single" w:color="auto" w:sz="6" w:space="0"/>
              <w:bottom w:val="single" w:color="auto" w:sz="6" w:space="0"/>
              <w:right w:val="single" w:color="auto" w:sz="12" w:space="0"/>
            </w:tcBorders>
            <w:noWrap w:val="0"/>
            <w:vAlign w:val="center"/>
          </w:tcPr>
          <w:p>
            <w:pPr>
              <w:widowControl/>
              <w:snapToGrid w:val="0"/>
              <w:jc w:val="center"/>
              <w:rPr>
                <w:rFonts w:ascii="Times New Roman" w:hAnsi="Times New Roman" w:eastAsia="仿宋_GB2312"/>
                <w:kern w:val="0"/>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全球</w:t>
            </w:r>
            <w:r>
              <w:rPr>
                <w:rFonts w:ascii="Times New Roman" w:hAnsi="Times New Roman" w:eastAsia="仿宋_GB2312"/>
                <w:kern w:val="0"/>
              </w:rPr>
              <w:t>ESI</w:t>
            </w:r>
            <w:r>
              <w:rPr>
                <w:rFonts w:ascii="Times New Roman" w:hAnsi="Times New Roman"/>
                <w:kern w:val="0"/>
              </w:rPr>
              <w:t>学科排名前</w:t>
            </w:r>
            <w:r>
              <w:rPr>
                <w:rFonts w:ascii="Times New Roman" w:hAnsi="Times New Roman" w:eastAsia="仿宋_GB2312"/>
                <w:kern w:val="0"/>
              </w:rPr>
              <w:t>1%</w:t>
            </w:r>
            <w:r>
              <w:rPr>
                <w:rFonts w:ascii="Times New Roman" w:hAnsi="Times New Roman"/>
                <w:kern w:val="0"/>
              </w:rPr>
              <w:t>（个数）</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snapToGrid w:val="0"/>
              <w:rPr>
                <w:rFonts w:ascii="Times New Roman" w:hAnsi="Times New Roman" w:eastAsia="仿宋_GB2312"/>
                <w:kern w:val="0"/>
              </w:rPr>
            </w:pPr>
            <w:r>
              <w:rPr>
                <w:rFonts w:ascii="Times New Roman" w:hAnsi="Times New Roman"/>
                <w:kern w:val="0"/>
              </w:rPr>
              <w:t>学位点建设</w:t>
            </w: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rPr>
                <w:rFonts w:ascii="Times New Roman" w:hAnsi="Times New Roman" w:eastAsia="仿宋_GB2312"/>
                <w:kern w:val="0"/>
              </w:rPr>
            </w:pPr>
            <w:r>
              <w:rPr>
                <w:rFonts w:ascii="Times New Roman" w:hAnsi="Times New Roman"/>
                <w:kern w:val="0"/>
              </w:rPr>
              <w:t>一级学科博士点或博士专业学位类别数（个）</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rPr>
                <w:rFonts w:ascii="Times New Roman" w:hAnsi="Times New Roman" w:eastAsia="仿宋_GB2312"/>
                <w:kern w:val="0"/>
              </w:rPr>
            </w:pPr>
            <w:r>
              <w:rPr>
                <w:rFonts w:ascii="Times New Roman" w:hAnsi="Times New Roman"/>
                <w:kern w:val="0"/>
              </w:rPr>
              <w:t>一级学科硕士点或硕士专业学位类别数（个）</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snapToGrid w:val="0"/>
              <w:rPr>
                <w:rFonts w:ascii="Times New Roman" w:hAnsi="Times New Roman" w:eastAsia="仿宋_GB2312"/>
                <w:kern w:val="0"/>
              </w:rPr>
            </w:pPr>
            <w:r>
              <w:rPr>
                <w:rFonts w:ascii="Times New Roman" w:hAnsi="Times New Roman"/>
                <w:kern w:val="0"/>
              </w:rPr>
              <w:t>专业建设</w:t>
            </w: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国家专业综合改革试点等</w:t>
            </w:r>
            <w:r>
              <w:rPr>
                <w:rFonts w:ascii="Times New Roman" w:hAnsi="Times New Roman" w:eastAsia="仿宋_GB2312"/>
                <w:kern w:val="0"/>
              </w:rPr>
              <w:t>“</w:t>
            </w:r>
            <w:r>
              <w:rPr>
                <w:rFonts w:ascii="Times New Roman" w:hAnsi="Times New Roman"/>
                <w:kern w:val="0"/>
              </w:rPr>
              <w:t>十二五</w:t>
            </w:r>
            <w:r>
              <w:rPr>
                <w:rFonts w:ascii="Times New Roman" w:hAnsi="Times New Roman" w:eastAsia="仿宋_GB2312"/>
                <w:kern w:val="0"/>
              </w:rPr>
              <w:t>”</w:t>
            </w:r>
            <w:r>
              <w:rPr>
                <w:rFonts w:ascii="Times New Roman" w:hAnsi="Times New Roman"/>
                <w:kern w:val="0"/>
              </w:rPr>
              <w:t>以来教育部相关专业建设项目（个）</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省优势、特色专业（个）</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学术兼职</w:t>
            </w: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在重要学术</w:t>
            </w:r>
            <w:r>
              <w:rPr>
                <w:rFonts w:ascii="Times New Roman" w:hAnsi="Times New Roman" w:eastAsia="仿宋_GB2312"/>
                <w:kern w:val="0"/>
              </w:rPr>
              <w:t>/</w:t>
            </w:r>
            <w:r>
              <w:rPr>
                <w:rFonts w:ascii="Times New Roman" w:hAnsi="Times New Roman"/>
                <w:kern w:val="0"/>
              </w:rPr>
              <w:t>行业组织担任重要职务的人数（人）</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自设指标</w:t>
            </w: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restart"/>
            <w:tcBorders>
              <w:top w:val="single" w:color="auto" w:sz="6" w:space="0"/>
              <w:left w:val="single" w:color="auto" w:sz="12" w:space="0"/>
              <w:bottom w:val="single" w:color="auto" w:sz="6" w:space="0"/>
              <w:right w:val="single" w:color="auto" w:sz="6" w:space="0"/>
            </w:tcBorders>
            <w:noWrap w:val="0"/>
            <w:vAlign w:val="center"/>
          </w:tcPr>
          <w:p>
            <w:pPr>
              <w:snapToGrid w:val="0"/>
              <w:jc w:val="left"/>
              <w:rPr>
                <w:rFonts w:ascii="Times New Roman" w:hAnsi="Times New Roman" w:eastAsia="仿宋_GB2312"/>
                <w:kern w:val="0"/>
              </w:rPr>
            </w:pPr>
            <w:r>
              <w:rPr>
                <w:rFonts w:ascii="Times New Roman" w:hAnsi="Times New Roman"/>
                <w:kern w:val="0"/>
              </w:rPr>
              <w:t>国际合作与交流</w:t>
            </w:r>
          </w:p>
          <w:p>
            <w:pPr>
              <w:snapToGrid w:val="0"/>
              <w:jc w:val="left"/>
              <w:rPr>
                <w:rFonts w:ascii="Times New Roman" w:hAnsi="Times New Roman" w:eastAsia="仿宋_GB2312"/>
                <w:kern w:val="0"/>
              </w:rPr>
            </w:pPr>
            <w:r>
              <w:rPr>
                <w:rFonts w:ascii="Times New Roman" w:hAnsi="Times New Roman"/>
                <w:kern w:val="0"/>
              </w:rPr>
              <w:t>（</w:t>
            </w:r>
            <w:r>
              <w:rPr>
                <w:rFonts w:ascii="Times New Roman" w:hAnsi="Times New Roman" w:eastAsia="仿宋_GB2312"/>
                <w:kern w:val="0"/>
              </w:rPr>
              <w:t>15%</w:t>
            </w:r>
            <w:r>
              <w:rPr>
                <w:rFonts w:ascii="Times New Roman" w:hAnsi="Times New Roman"/>
                <w:kern w:val="0"/>
              </w:rPr>
              <w:t>）</w:t>
            </w:r>
          </w:p>
        </w:tc>
        <w:tc>
          <w:tcPr>
            <w:tcW w:w="1662"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师资国际化</w:t>
            </w: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eastAsia="仿宋_GB2312"/>
                <w:kern w:val="0"/>
              </w:rPr>
              <w:t>3</w:t>
            </w:r>
            <w:r>
              <w:rPr>
                <w:rFonts w:ascii="Times New Roman" w:hAnsi="Times New Roman"/>
                <w:kern w:val="0"/>
              </w:rPr>
              <w:t>个月及以上出国（境）访学（研修）教师占比（</w:t>
            </w:r>
            <w:r>
              <w:rPr>
                <w:rFonts w:ascii="Times New Roman" w:hAnsi="Times New Roman" w:eastAsia="仿宋_GB2312"/>
                <w:kern w:val="0"/>
              </w:rPr>
              <w:t>%</w:t>
            </w:r>
            <w:r>
              <w:rPr>
                <w:rFonts w:ascii="Times New Roman" w:hAnsi="Times New Roman"/>
                <w:kern w:val="0"/>
              </w:rPr>
              <w:t>）</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restart"/>
            <w:tcBorders>
              <w:top w:val="single" w:color="auto" w:sz="6" w:space="0"/>
              <w:left w:val="single" w:color="auto" w:sz="6" w:space="0"/>
              <w:bottom w:val="single" w:color="auto" w:sz="6" w:space="0"/>
              <w:right w:val="single" w:color="auto" w:sz="12" w:space="0"/>
            </w:tcBorders>
            <w:noWrap w:val="0"/>
            <w:vAlign w:val="center"/>
          </w:tcPr>
          <w:p>
            <w:pPr>
              <w:widowControl/>
              <w:snapToGrid w:val="0"/>
              <w:jc w:val="center"/>
              <w:rPr>
                <w:rFonts w:ascii="Times New Roman" w:hAnsi="Times New Roman" w:eastAsia="仿宋_GB2312"/>
                <w:kern w:val="0"/>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ind w:firstLine="210" w:firstLineChars="100"/>
              <w:jc w:val="left"/>
              <w:rPr>
                <w:rFonts w:ascii="Times New Roman" w:hAnsi="Times New Roman" w:eastAsia="仿宋_GB2312"/>
                <w:kern w:val="0"/>
              </w:rPr>
            </w:pPr>
            <w:r>
              <w:rPr>
                <w:rFonts w:ascii="Times New Roman" w:hAnsi="Times New Roman"/>
                <w:kern w:val="0"/>
              </w:rPr>
              <w:t>其中：</w:t>
            </w:r>
            <w:r>
              <w:rPr>
                <w:rFonts w:ascii="Times New Roman" w:hAnsi="Times New Roman" w:eastAsia="仿宋_GB2312"/>
                <w:kern w:val="0"/>
              </w:rPr>
              <w:t>6</w:t>
            </w:r>
            <w:r>
              <w:rPr>
                <w:rFonts w:ascii="Times New Roman" w:hAnsi="Times New Roman"/>
                <w:kern w:val="0"/>
              </w:rPr>
              <w:t>个月及以上占比</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ind w:firstLine="210" w:firstLineChars="100"/>
              <w:jc w:val="left"/>
              <w:rPr>
                <w:rFonts w:ascii="Times New Roman" w:hAnsi="Times New Roman" w:eastAsia="仿宋_GB2312"/>
                <w:kern w:val="0"/>
              </w:rPr>
            </w:pPr>
            <w:r>
              <w:rPr>
                <w:rFonts w:ascii="Times New Roman" w:hAnsi="Times New Roman"/>
                <w:kern w:val="0"/>
              </w:rPr>
              <w:t>其中：</w:t>
            </w:r>
            <w:r>
              <w:rPr>
                <w:rFonts w:ascii="Times New Roman" w:hAnsi="Times New Roman" w:eastAsia="仿宋_GB2312"/>
                <w:kern w:val="0"/>
              </w:rPr>
              <w:t>1</w:t>
            </w:r>
            <w:r>
              <w:rPr>
                <w:rFonts w:ascii="Times New Roman" w:hAnsi="Times New Roman"/>
                <w:kern w:val="0"/>
              </w:rPr>
              <w:t>年及以上占比</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聘请外国专家人数</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人才培养国际化</w:t>
            </w: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出国（境）交流（</w:t>
            </w:r>
            <w:r>
              <w:rPr>
                <w:rFonts w:ascii="Times New Roman" w:hAnsi="Times New Roman" w:eastAsia="仿宋_GB2312"/>
                <w:kern w:val="0"/>
              </w:rPr>
              <w:t>3</w:t>
            </w:r>
            <w:r>
              <w:rPr>
                <w:rFonts w:ascii="Times New Roman" w:hAnsi="Times New Roman"/>
                <w:kern w:val="0"/>
              </w:rPr>
              <w:t>个月及以上）学生占比（</w:t>
            </w:r>
            <w:r>
              <w:rPr>
                <w:rFonts w:ascii="Times New Roman" w:hAnsi="Times New Roman" w:eastAsia="仿宋_GB2312"/>
                <w:kern w:val="0"/>
              </w:rPr>
              <w:t>%</w:t>
            </w:r>
            <w:r>
              <w:rPr>
                <w:rFonts w:ascii="Times New Roman" w:hAnsi="Times New Roman"/>
                <w:kern w:val="0"/>
              </w:rPr>
              <w:t>）</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学历留学生数（人）</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国际交流</w:t>
            </w: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国际科研合作项目数（个）</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国际科研合作平台数（个）</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主办国际学术会议（次）</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1662"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kern w:val="0"/>
                <w:szCs w:val="21"/>
              </w:rPr>
            </w:pP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r>
              <w:rPr>
                <w:rFonts w:ascii="Times New Roman" w:hAnsi="Times New Roman"/>
                <w:kern w:val="0"/>
              </w:rPr>
              <w:t>参加国际学术会议人次（次）</w:t>
            </w: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1277" w:type="dxa"/>
            <w:tcBorders>
              <w:top w:val="single" w:color="auto" w:sz="6" w:space="0"/>
              <w:left w:val="single" w:color="auto" w:sz="12"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p>
        </w:tc>
        <w:tc>
          <w:tcPr>
            <w:tcW w:w="1662" w:type="dxa"/>
            <w:tcBorders>
              <w:top w:val="single" w:color="auto" w:sz="6" w:space="0"/>
              <w:left w:val="single" w:color="auto" w:sz="6" w:space="0"/>
              <w:bottom w:val="single" w:color="auto" w:sz="6" w:space="0"/>
              <w:right w:val="single" w:color="auto" w:sz="6" w:space="0"/>
            </w:tcBorders>
            <w:noWrap w:val="0"/>
            <w:vAlign w:val="center"/>
          </w:tcPr>
          <w:p>
            <w:pPr>
              <w:widowControl/>
              <w:snapToGrid w:val="0"/>
              <w:rPr>
                <w:rFonts w:ascii="Times New Roman" w:hAnsi="Times New Roman" w:eastAsia="仿宋_GB2312"/>
                <w:kern w:val="0"/>
              </w:rPr>
            </w:pPr>
            <w:r>
              <w:rPr>
                <w:rFonts w:ascii="Times New Roman" w:hAnsi="Times New Roman"/>
                <w:kern w:val="0"/>
              </w:rPr>
              <w:t>自设指标</w:t>
            </w:r>
          </w:p>
        </w:tc>
        <w:tc>
          <w:tcPr>
            <w:tcW w:w="345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left"/>
              <w:rPr>
                <w:rFonts w:ascii="Times New Roman" w:hAnsi="Times New Roman" w:eastAsia="仿宋_GB2312"/>
                <w:kern w:val="0"/>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939"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ascii="Times New Roman" w:hAnsi="Times New Roman" w:eastAsia="仿宋_GB2312"/>
                <w:kern w:val="0"/>
              </w:rPr>
            </w:pPr>
          </w:p>
        </w:tc>
        <w:tc>
          <w:tcPr>
            <w:tcW w:w="851"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Times New Roman" w:hAnsi="Times New Roman" w:eastAsia="仿宋_GB2312"/>
                <w:kern w:val="0"/>
                <w:szCs w:val="21"/>
              </w:rPr>
            </w:pPr>
          </w:p>
        </w:tc>
      </w:tr>
      <w:tr>
        <w:tblPrEx>
          <w:tblCellMar>
            <w:top w:w="0" w:type="dxa"/>
            <w:left w:w="108" w:type="dxa"/>
            <w:bottom w:w="0" w:type="dxa"/>
            <w:right w:w="108" w:type="dxa"/>
          </w:tblCellMar>
        </w:tblPrEx>
        <w:trPr>
          <w:trHeight w:val="285" w:hRule="atLeast"/>
          <w:jc w:val="center"/>
        </w:trPr>
        <w:tc>
          <w:tcPr>
            <w:tcW w:w="8184" w:type="dxa"/>
            <w:gridSpan w:val="5"/>
            <w:tcBorders>
              <w:top w:val="single" w:color="auto" w:sz="6" w:space="0"/>
              <w:left w:val="single" w:color="auto" w:sz="12" w:space="0"/>
              <w:bottom w:val="single" w:color="auto" w:sz="12" w:space="0"/>
              <w:right w:val="single" w:color="auto" w:sz="6" w:space="0"/>
            </w:tcBorders>
            <w:noWrap w:val="0"/>
            <w:vAlign w:val="center"/>
          </w:tcPr>
          <w:p>
            <w:pPr>
              <w:widowControl/>
              <w:snapToGrid w:val="0"/>
              <w:rPr>
                <w:rFonts w:ascii="Times New Roman" w:hAnsi="Times New Roman" w:eastAsia="仿宋_GB2312"/>
                <w:b/>
                <w:bCs/>
                <w:kern w:val="0"/>
              </w:rPr>
            </w:pPr>
            <w:r>
              <w:rPr>
                <w:rFonts w:ascii="Times New Roman" w:hAnsi="Times New Roman"/>
                <w:b/>
                <w:bCs/>
                <w:kern w:val="0"/>
              </w:rPr>
              <w:t>综合完成率（</w:t>
            </w:r>
            <w:r>
              <w:rPr>
                <w:rFonts w:ascii="Times New Roman" w:hAnsi="Times New Roman" w:eastAsia="仿宋_GB2312"/>
                <w:b/>
                <w:bCs/>
                <w:kern w:val="0"/>
              </w:rPr>
              <w:t>%</w:t>
            </w:r>
            <w:r>
              <w:rPr>
                <w:rFonts w:ascii="Times New Roman" w:hAnsi="Times New Roman"/>
                <w:b/>
                <w:bCs/>
                <w:kern w:val="0"/>
              </w:rPr>
              <w:t>）</w:t>
            </w:r>
          </w:p>
        </w:tc>
        <w:tc>
          <w:tcPr>
            <w:tcW w:w="851" w:type="dxa"/>
            <w:tcBorders>
              <w:top w:val="single" w:color="auto" w:sz="6" w:space="0"/>
              <w:left w:val="single" w:color="auto" w:sz="6" w:space="0"/>
              <w:bottom w:val="single" w:color="auto" w:sz="12" w:space="0"/>
              <w:right w:val="single" w:color="auto" w:sz="12" w:space="0"/>
            </w:tcBorders>
            <w:noWrap w:val="0"/>
            <w:vAlign w:val="center"/>
          </w:tcPr>
          <w:p>
            <w:pPr>
              <w:widowControl/>
              <w:snapToGrid w:val="0"/>
              <w:jc w:val="center"/>
              <w:rPr>
                <w:rFonts w:ascii="Times New Roman" w:hAnsi="Times New Roman" w:eastAsia="仿宋_GB2312"/>
                <w:b/>
                <w:bCs/>
                <w:kern w:val="0"/>
              </w:rPr>
            </w:pPr>
          </w:p>
        </w:tc>
      </w:tr>
    </w:tbl>
    <w:p>
      <w:pPr>
        <w:rPr>
          <w:rFonts w:ascii="Times New Roman" w:hAnsi="Times New Roman" w:eastAsia="仿宋"/>
          <w:kern w:val="0"/>
          <w:szCs w:val="21"/>
        </w:rPr>
      </w:pPr>
      <w:r>
        <w:rPr>
          <w:rFonts w:ascii="Times New Roman" w:hAnsi="Times New Roman" w:eastAsia="仿宋"/>
          <w:kern w:val="0"/>
        </w:rPr>
        <w:t>说明：</w:t>
      </w:r>
    </w:p>
    <w:p>
      <w:pPr>
        <w:ind w:firstLine="420" w:firstLineChars="200"/>
        <w:rPr>
          <w:rFonts w:ascii="Times New Roman" w:hAnsi="Times New Roman" w:eastAsia="仿宋"/>
          <w:kern w:val="0"/>
        </w:rPr>
      </w:pPr>
      <w:r>
        <w:rPr>
          <w:rFonts w:ascii="Times New Roman" w:hAnsi="Times New Roman" w:eastAsia="仿宋"/>
          <w:kern w:val="0"/>
        </w:rPr>
        <w:t>（1）“重点突破指标清单实现情况”请对照本办法附件2填报；</w:t>
      </w:r>
    </w:p>
    <w:p>
      <w:pPr>
        <w:ind w:firstLine="405"/>
        <w:rPr>
          <w:rFonts w:ascii="Times New Roman" w:hAnsi="Times New Roman" w:eastAsia="仿宋"/>
          <w:kern w:val="0"/>
        </w:rPr>
      </w:pPr>
      <w:r>
        <w:rPr>
          <w:rFonts w:ascii="Times New Roman" w:hAnsi="Times New Roman" w:eastAsia="仿宋"/>
          <w:kern w:val="0"/>
        </w:rPr>
        <w:t>（2）国家级人才包括：两院院士、国家万人、国家千人、国家青年千人、长江学者、国家杰青基金、新世纪百千万人才、教育部新世纪人才、国家教学名师、国家高端外国专家、国家重点研发计划首席科学家、国家科技重大专项首席科学家、中央马工程首席专家、中宣部“四个一批”人才等；</w:t>
      </w:r>
    </w:p>
    <w:p>
      <w:pPr>
        <w:ind w:firstLine="405"/>
        <w:rPr>
          <w:rFonts w:ascii="Times New Roman" w:hAnsi="Times New Roman" w:eastAsia="仿宋"/>
          <w:kern w:val="0"/>
        </w:rPr>
      </w:pPr>
      <w:r>
        <w:rPr>
          <w:rFonts w:ascii="Times New Roman" w:hAnsi="Times New Roman" w:eastAsia="仿宋"/>
          <w:kern w:val="0"/>
        </w:rPr>
        <w:t>（3）省级人才包括：省特级专家、省千人、高校钱江学者特聘教授、“151”人才重点资助和第一层次、省级突出贡献中青年专家、省宣传文化系统“五个一批”人才、省“万人计划”教学名师等；</w:t>
      </w:r>
    </w:p>
    <w:p>
      <w:pPr>
        <w:ind w:firstLine="405"/>
        <w:rPr>
          <w:rFonts w:ascii="Times New Roman" w:hAnsi="Times New Roman" w:eastAsia="仿宋"/>
          <w:kern w:val="0"/>
        </w:rPr>
      </w:pPr>
      <w:r>
        <w:rPr>
          <w:rFonts w:ascii="Times New Roman" w:hAnsi="Times New Roman" w:eastAsia="仿宋"/>
          <w:kern w:val="0"/>
        </w:rPr>
        <w:t>（4）省部级及以上创新团队包括：</w:t>
      </w:r>
      <w:r>
        <w:rPr>
          <w:rFonts w:ascii="Times New Roman" w:hAnsi="Times New Roman" w:eastAsia="仿宋"/>
        </w:rPr>
        <w:t>国家自然基金创新研究群体、国家级教学团队、教育部创新团队、省级重点创新团队、省级教学团队等；</w:t>
      </w:r>
    </w:p>
    <w:p>
      <w:pPr>
        <w:ind w:firstLine="405"/>
        <w:rPr>
          <w:rFonts w:ascii="Times New Roman" w:hAnsi="Times New Roman" w:eastAsia="仿宋"/>
          <w:kern w:val="0"/>
        </w:rPr>
      </w:pPr>
      <w:r>
        <w:rPr>
          <w:rFonts w:ascii="Times New Roman" w:hAnsi="Times New Roman" w:eastAsia="仿宋"/>
          <w:kern w:val="0"/>
        </w:rPr>
        <w:t>（5）国家教学平台包括：国家级实验教学示范中心、国家级虚拟仿真实验教学中心、国家大学生校外实践教育基地等；</w:t>
      </w:r>
    </w:p>
    <w:p>
      <w:pPr>
        <w:ind w:firstLine="405"/>
        <w:rPr>
          <w:rFonts w:ascii="Times New Roman" w:hAnsi="Times New Roman" w:eastAsia="仿宋"/>
          <w:kern w:val="0"/>
        </w:rPr>
      </w:pPr>
      <w:r>
        <w:rPr>
          <w:rFonts w:ascii="Times New Roman" w:hAnsi="Times New Roman" w:eastAsia="仿宋"/>
          <w:kern w:val="0"/>
        </w:rPr>
        <w:t>（6）省级教学平台包括：省级重点实验教学示范中心、省级虚拟仿真实验教学中心、省级大学生校外实践教育基地等；</w:t>
      </w:r>
    </w:p>
    <w:p>
      <w:pPr>
        <w:ind w:firstLine="405"/>
        <w:rPr>
          <w:rFonts w:ascii="Times New Roman" w:hAnsi="Times New Roman" w:eastAsia="仿宋"/>
          <w:kern w:val="0"/>
        </w:rPr>
      </w:pPr>
      <w:r>
        <w:rPr>
          <w:rFonts w:ascii="Times New Roman" w:hAnsi="Times New Roman" w:eastAsia="仿宋"/>
          <w:kern w:val="0"/>
        </w:rPr>
        <w:t>（7）国家教学成果奖包括：教育部教学成果奖、中</w:t>
      </w:r>
      <w:r>
        <w:rPr>
          <w:rFonts w:ascii="Times New Roman" w:hAnsi="Times New Roman" w:eastAsia="仿宋"/>
        </w:rPr>
        <w:t>国研究生教学成果奖；</w:t>
      </w:r>
    </w:p>
    <w:p>
      <w:pPr>
        <w:ind w:firstLine="405"/>
        <w:rPr>
          <w:rFonts w:ascii="Times New Roman" w:hAnsi="Times New Roman" w:eastAsia="仿宋"/>
          <w:kern w:val="0"/>
        </w:rPr>
      </w:pPr>
      <w:r>
        <w:rPr>
          <w:rFonts w:ascii="Times New Roman" w:hAnsi="Times New Roman" w:eastAsia="仿宋"/>
          <w:kern w:val="0"/>
        </w:rPr>
        <w:t>（8）省部级及以上学科竞赛奖励包括：中国“互联网+”大学生创新创业大赛、“挑战杯”全国大学生系列科技学术竞赛、教育部学位中心和国家科协举办的研究生系列学科竞赛、省大学生科技竞赛委员会组织的学科竞赛、中国美协和省美协等专业协会组织的展览获奖等；</w:t>
      </w:r>
    </w:p>
    <w:p>
      <w:pPr>
        <w:ind w:firstLine="405"/>
        <w:rPr>
          <w:rFonts w:ascii="Times New Roman" w:hAnsi="Times New Roman" w:eastAsia="仿宋"/>
          <w:kern w:val="0"/>
        </w:rPr>
      </w:pPr>
      <w:r>
        <w:rPr>
          <w:rFonts w:ascii="Times New Roman" w:hAnsi="Times New Roman" w:eastAsia="仿宋"/>
          <w:kern w:val="0"/>
        </w:rPr>
        <w:t>（9）国家级科研创新平台包括：国家重点实验室、国家工程（技术）研究中心、工程实验室、国家2011协同创新中心、国家级智库等；</w:t>
      </w:r>
    </w:p>
    <w:p>
      <w:pPr>
        <w:ind w:firstLine="405"/>
        <w:rPr>
          <w:rFonts w:ascii="Times New Roman" w:hAnsi="Times New Roman" w:eastAsia="仿宋"/>
          <w:kern w:val="0"/>
        </w:rPr>
      </w:pPr>
      <w:r>
        <w:rPr>
          <w:rFonts w:ascii="Times New Roman" w:hAnsi="Times New Roman" w:eastAsia="仿宋"/>
          <w:kern w:val="0"/>
        </w:rPr>
        <w:t>（10）省部级科研创新平台包括：教育部重点实验室、教育部工程（技术）中心、教育部人文社科基地、省重点实验室、省工程实验室、省工程（技术）研究中心、省2011协同创新中心、省哲学社会科学重点研究基地、省级智库等。</w:t>
      </w:r>
    </w:p>
    <w:p>
      <w:pPr>
        <w:ind w:firstLine="420" w:firstLineChars="200"/>
        <w:rPr>
          <w:rFonts w:ascii="Times New Roman" w:hAnsi="Times New Roman" w:eastAsia="仿宋"/>
          <w:kern w:val="0"/>
        </w:rPr>
      </w:pPr>
      <w:r>
        <w:rPr>
          <w:rFonts w:ascii="Times New Roman" w:hAnsi="Times New Roman" w:eastAsia="仿宋"/>
          <w:kern w:val="0"/>
        </w:rPr>
        <w:t>（11）国家级成果奖励包括：国家最高科学技术奖、国家自然科学奖、科技进步奖、技术发明奖、教育部科学研究优秀成果奖（人文社科）、全国美展金奖等。</w:t>
      </w:r>
    </w:p>
    <w:p>
      <w:pPr>
        <w:ind w:firstLine="405"/>
        <w:rPr>
          <w:rFonts w:ascii="Times New Roman" w:hAnsi="Times New Roman" w:eastAsia="仿宋"/>
          <w:kern w:val="0"/>
        </w:rPr>
      </w:pPr>
      <w:r>
        <w:rPr>
          <w:rFonts w:ascii="Times New Roman" w:hAnsi="Times New Roman" w:eastAsia="仿宋"/>
          <w:kern w:val="0"/>
        </w:rPr>
        <w:t>（12）省部级成果奖励包括：教育部科学研究优秀成果奖（科学技术）、省科学技术奖、省哲学社会科学优秀成果奖、</w:t>
      </w:r>
      <w:r>
        <w:rPr>
          <w:rFonts w:ascii="Times New Roman" w:hAnsi="Times New Roman" w:eastAsia="仿宋"/>
        </w:rPr>
        <w:t>中国专利奖、文华奖、中国广播影视大奖、中国戏剧奖、音乐金钟奖、茅盾文学奖、鲁迅文学奖、全国优秀儿童文学奖、中国出版政府奖、中国优秀图书奖、孙冶方经济科学奖、何梁何利科技奖、全国美展银奖铜奖，以及其它获国家奖推荐的成果等。</w:t>
      </w:r>
    </w:p>
    <w:p>
      <w:pPr>
        <w:ind w:firstLine="405"/>
        <w:rPr>
          <w:rFonts w:ascii="Times New Roman" w:hAnsi="Times New Roman" w:eastAsia="仿宋"/>
          <w:kern w:val="0"/>
        </w:rPr>
      </w:pPr>
      <w:r>
        <w:rPr>
          <w:rFonts w:ascii="Times New Roman" w:hAnsi="Times New Roman" w:eastAsia="仿宋"/>
          <w:kern w:val="0"/>
        </w:rPr>
        <w:t>（13）产学研平台包括：与本学科直接关联的地市级及以上产学研联盟和</w:t>
      </w:r>
      <w:r>
        <w:rPr>
          <w:rFonts w:ascii="Times New Roman" w:hAnsi="Times New Roman" w:eastAsia="仿宋"/>
        </w:rPr>
        <w:t>科技服务平台</w:t>
      </w:r>
      <w:r>
        <w:rPr>
          <w:rFonts w:ascii="Times New Roman" w:hAnsi="Times New Roman" w:eastAsia="仿宋"/>
          <w:kern w:val="0"/>
        </w:rPr>
        <w:t>、地市级及以上</w:t>
      </w:r>
      <w:r>
        <w:rPr>
          <w:rFonts w:ascii="Times New Roman" w:hAnsi="Times New Roman" w:eastAsia="仿宋"/>
        </w:rPr>
        <w:t>协会（学会）发起单位或秘书长单位、有经常性经费支持的校企联合研究所（实验室、工程中心）等；</w:t>
      </w:r>
    </w:p>
    <w:p>
      <w:pPr>
        <w:ind w:firstLine="405"/>
        <w:rPr>
          <w:rFonts w:ascii="Times New Roman" w:hAnsi="Times New Roman" w:eastAsia="仿宋"/>
          <w:kern w:val="0"/>
        </w:rPr>
      </w:pPr>
      <w:r>
        <w:rPr>
          <w:rFonts w:ascii="Times New Roman" w:hAnsi="Times New Roman" w:eastAsia="仿宋"/>
          <w:kern w:val="0"/>
        </w:rPr>
        <w:t>（14）在重要学术/行业组织担任重要职务包括：国际学术组织任职、全国一级学会（协会）常务理事及以上或下设二级分会主任委员、省一级学会（协会）副理事长及以上等。</w:t>
      </w:r>
    </w:p>
    <w:p>
      <w:pPr>
        <w:ind w:firstLine="405"/>
        <w:rPr>
          <w:rFonts w:ascii="Times New Roman" w:hAnsi="Times New Roman" w:eastAsia="仿宋"/>
          <w:kern w:val="0"/>
        </w:rPr>
      </w:pPr>
      <w:r>
        <w:rPr>
          <w:rFonts w:ascii="Times New Roman" w:hAnsi="Times New Roman" w:eastAsia="仿宋"/>
          <w:kern w:val="0"/>
        </w:rPr>
        <w:t>（15）国际科研合作项目包括：省部级及以上科研管理部门立项的各类国际科研合作项目；</w:t>
      </w:r>
    </w:p>
    <w:p>
      <w:pPr>
        <w:ind w:firstLine="405"/>
        <w:rPr>
          <w:rFonts w:ascii="Times New Roman" w:hAnsi="Times New Roman" w:eastAsia="仿宋"/>
          <w:kern w:val="0"/>
        </w:rPr>
      </w:pPr>
      <w:r>
        <w:rPr>
          <w:rFonts w:ascii="Times New Roman" w:hAnsi="Times New Roman" w:eastAsia="仿宋"/>
          <w:kern w:val="0"/>
        </w:rPr>
        <w:t>（16）国际科研合作平台包括：省部级及以上国际科技合作基地；</w:t>
      </w:r>
    </w:p>
    <w:p>
      <w:pPr>
        <w:ind w:firstLine="405"/>
        <w:rPr>
          <w:rFonts w:ascii="Times New Roman" w:hAnsi="Times New Roman" w:eastAsia="仿宋"/>
          <w:kern w:val="0"/>
        </w:rPr>
      </w:pPr>
      <w:r>
        <w:rPr>
          <w:rFonts w:ascii="Times New Roman" w:hAnsi="Times New Roman" w:eastAsia="仿宋"/>
          <w:kern w:val="0"/>
        </w:rPr>
        <w:t>（17）各一级指标完成率由所在单位根据该一级指标下相应的具体指标年度完成情况综合确定；各学科综合完成率（%）</w:t>
      </w:r>
      <w:r>
        <w:rPr>
          <w:rFonts w:ascii="Times New Roman" w:hAnsi="Times New Roman" w:eastAsia="仿宋"/>
        </w:rPr>
        <w:fldChar w:fldCharType="begin"/>
      </w:r>
      <w:r>
        <w:rPr>
          <w:rFonts w:ascii="Times New Roman" w:hAnsi="Times New Roman" w:eastAsia="仿宋"/>
        </w:rPr>
        <w:instrText xml:space="preserve"> INCLUDEPICTURE "C:\\Users\\lv\\AppData\\Local\\Temp\\ksohtml\\wps36D3.tmp.png" \* MERGEFORMATINET </w:instrText>
      </w:r>
      <w:r>
        <w:rPr>
          <w:rFonts w:ascii="Times New Roman" w:hAnsi="Times New Roman" w:eastAsia="仿宋"/>
        </w:rPr>
        <w:fldChar w:fldCharType="separate"/>
      </w:r>
      <w:r>
        <w:rPr>
          <w:rFonts w:ascii="Times New Roman" w:hAnsi="Times New Roman" w:eastAsia="仿宋"/>
        </w:rPr>
        <w:drawing>
          <wp:inline distT="0" distB="0" distL="114300" distR="114300">
            <wp:extent cx="123190" cy="104140"/>
            <wp:effectExtent l="0" t="0" r="13970" b="1905"/>
            <wp:docPr id="1" name="图片 1" descr="wps36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36D3"/>
                    <pic:cNvPicPr>
                      <a:picLocks noChangeAspect="1"/>
                    </pic:cNvPicPr>
                  </pic:nvPicPr>
                  <pic:blipFill>
                    <a:blip r:embed="rId4"/>
                    <a:stretch>
                      <a:fillRect/>
                    </a:stretch>
                  </pic:blipFill>
                  <pic:spPr>
                    <a:xfrm>
                      <a:off x="0" y="0"/>
                      <a:ext cx="123190" cy="104140"/>
                    </a:xfrm>
                    <a:prstGeom prst="rect">
                      <a:avLst/>
                    </a:prstGeom>
                    <a:noFill/>
                    <a:ln>
                      <a:noFill/>
                    </a:ln>
                  </pic:spPr>
                </pic:pic>
              </a:graphicData>
            </a:graphic>
          </wp:inline>
        </w:drawing>
      </w:r>
      <w:r>
        <w:rPr>
          <w:rFonts w:ascii="Times New Roman" w:hAnsi="Times New Roman" w:eastAsia="仿宋"/>
        </w:rPr>
        <w:fldChar w:fldCharType="end"/>
      </w:r>
      <w:r>
        <w:rPr>
          <w:rFonts w:ascii="Times New Roman" w:hAnsi="Times New Roman" w:eastAsia="仿宋"/>
        </w:rPr>
        <w:fldChar w:fldCharType="begin"/>
      </w:r>
      <w:r>
        <w:rPr>
          <w:rFonts w:ascii="Times New Roman" w:hAnsi="Times New Roman" w:eastAsia="仿宋"/>
        </w:rPr>
        <w:instrText xml:space="preserve"> INCLUDEPICTURE "C:\\Users\\lv\\AppData\\Local\\Temp\\ksohtml\\wps36D4.tmp.png" \* MERGEFORMATINET </w:instrText>
      </w:r>
      <w:r>
        <w:rPr>
          <w:rFonts w:ascii="Times New Roman" w:hAnsi="Times New Roman" w:eastAsia="仿宋"/>
        </w:rPr>
        <w:fldChar w:fldCharType="separate"/>
      </w:r>
      <w:r>
        <w:rPr>
          <w:rFonts w:ascii="Times New Roman" w:hAnsi="Times New Roman" w:eastAsia="仿宋"/>
        </w:rPr>
        <w:drawing>
          <wp:inline distT="0" distB="0" distL="114300" distR="114300">
            <wp:extent cx="1571625" cy="238760"/>
            <wp:effectExtent l="0" t="0" r="13335" b="4445"/>
            <wp:docPr id="2" name="图片 2" descr="wps36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36D4"/>
                    <pic:cNvPicPr>
                      <a:picLocks noChangeAspect="1"/>
                    </pic:cNvPicPr>
                  </pic:nvPicPr>
                  <pic:blipFill>
                    <a:blip r:embed="rId5"/>
                    <a:stretch>
                      <a:fillRect/>
                    </a:stretch>
                  </pic:blipFill>
                  <pic:spPr>
                    <a:xfrm>
                      <a:off x="0" y="0"/>
                      <a:ext cx="1571625" cy="238760"/>
                    </a:xfrm>
                    <a:prstGeom prst="rect">
                      <a:avLst/>
                    </a:prstGeom>
                    <a:noFill/>
                    <a:ln>
                      <a:noFill/>
                    </a:ln>
                  </pic:spPr>
                </pic:pic>
              </a:graphicData>
            </a:graphic>
          </wp:inline>
        </w:drawing>
      </w:r>
      <w:r>
        <w:rPr>
          <w:rFonts w:ascii="Times New Roman" w:hAnsi="Times New Roman" w:eastAsia="仿宋"/>
        </w:rPr>
        <w:fldChar w:fldCharType="end"/>
      </w:r>
      <w:r>
        <w:rPr>
          <w:rFonts w:ascii="Times New Roman" w:hAnsi="Times New Roman" w:eastAsia="仿宋"/>
          <w:kern w:val="0"/>
        </w:rPr>
        <w:t>。</w:t>
      </w:r>
    </w:p>
    <w:p>
      <w:pPr>
        <w:spacing w:line="580" w:lineRule="exact"/>
        <w:rPr>
          <w:rFonts w:ascii="Times New Roman" w:hAnsi="Times New Roman" w:eastAsia="仿宋_GB2312"/>
          <w:kern w:val="0"/>
        </w:rPr>
      </w:pPr>
      <w:r>
        <w:rPr>
          <w:rFonts w:ascii="Times New Roman" w:hAnsi="Times New Roman" w:eastAsia="仿宋_GB2312"/>
          <w:kern w:val="0"/>
        </w:rPr>
        <w:t xml:space="preserve"> </w:t>
      </w:r>
    </w:p>
    <w:p>
      <w:pPr>
        <w:spacing w:line="580" w:lineRule="exact"/>
        <w:rPr>
          <w:rFonts w:ascii="Times New Roman" w:hAnsi="Times New Roman" w:eastAsia="仿宋_GB2312"/>
          <w:sz w:val="30"/>
          <w:szCs w:val="30"/>
        </w:rPr>
      </w:pPr>
      <w:r>
        <w:rPr>
          <w:rFonts w:ascii="Times New Roman" w:hAnsi="Times New Roman" w:eastAsia="仿宋_GB2312"/>
          <w:sz w:val="30"/>
          <w:szCs w:val="30"/>
        </w:rPr>
        <w:t xml:space="preserve"> </w:t>
      </w:r>
    </w:p>
    <w:p>
      <w:pPr>
        <w:spacing w:line="580" w:lineRule="exact"/>
        <w:rPr>
          <w:rFonts w:ascii="Times New Roman" w:hAnsi="Times New Roman" w:eastAsia="仿宋_GB2312"/>
          <w:sz w:val="30"/>
          <w:szCs w:val="30"/>
        </w:rPr>
      </w:pPr>
      <w:r>
        <w:rPr>
          <w:rFonts w:ascii="Times New Roman" w:hAnsi="Times New Roman" w:eastAsia="仿宋_GB2312"/>
          <w:sz w:val="30"/>
          <w:szCs w:val="30"/>
        </w:rPr>
        <w:t xml:space="preserve"> </w:t>
      </w:r>
    </w:p>
    <w:p>
      <w:pPr>
        <w:spacing w:line="580" w:lineRule="exact"/>
        <w:rPr>
          <w:rFonts w:ascii="Times New Roman" w:hAnsi="Times New Roman" w:eastAsia="仿宋_GB2312"/>
          <w:sz w:val="30"/>
          <w:szCs w:val="30"/>
        </w:rPr>
      </w:pPr>
      <w:r>
        <w:rPr>
          <w:rFonts w:ascii="Times New Roman" w:hAnsi="Times New Roman" w:eastAsia="仿宋_GB2312"/>
          <w:sz w:val="30"/>
          <w:szCs w:val="30"/>
        </w:rPr>
        <w:t xml:space="preserve"> </w:t>
      </w:r>
    </w:p>
    <w:p>
      <w:pPr>
        <w:spacing w:line="580" w:lineRule="exact"/>
        <w:rPr>
          <w:rFonts w:ascii="Times New Roman" w:hAnsi="Times New Roman" w:eastAsia="仿宋_GB2312"/>
          <w:sz w:val="30"/>
          <w:szCs w:val="30"/>
        </w:rPr>
      </w:pPr>
      <w:r>
        <w:rPr>
          <w:rFonts w:ascii="Times New Roman" w:hAnsi="Times New Roman" w:eastAsia="仿宋_GB2312"/>
          <w:sz w:val="30"/>
          <w:szCs w:val="30"/>
        </w:rPr>
        <w:t xml:space="preserve"> </w:t>
      </w:r>
    </w:p>
    <w:p>
      <w:pPr>
        <w:spacing w:line="580" w:lineRule="exact"/>
        <w:rPr>
          <w:rFonts w:ascii="Times New Roman" w:hAnsi="Times New Roman" w:eastAsia="仿宋_GB2312"/>
          <w:sz w:val="30"/>
          <w:szCs w:val="30"/>
        </w:rPr>
      </w:pPr>
      <w:r>
        <w:rPr>
          <w:rFonts w:ascii="Times New Roman" w:hAnsi="Times New Roman" w:eastAsia="仿宋_GB2312"/>
          <w:sz w:val="30"/>
          <w:szCs w:val="30"/>
        </w:rPr>
        <w:t xml:space="preserve"> </w:t>
      </w:r>
    </w:p>
    <w:p>
      <w:pPr>
        <w:spacing w:line="580" w:lineRule="exact"/>
        <w:rPr>
          <w:rFonts w:ascii="Times New Roman" w:hAnsi="Times New Roman" w:eastAsia="仿宋_GB2312"/>
          <w:sz w:val="30"/>
          <w:szCs w:val="30"/>
        </w:rPr>
      </w:pPr>
      <w:r>
        <w:rPr>
          <w:rFonts w:ascii="Times New Roman" w:hAnsi="Times New Roman" w:eastAsia="仿宋_GB2312"/>
          <w:sz w:val="30"/>
          <w:szCs w:val="30"/>
        </w:rPr>
        <w:t xml:space="preserve"> </w:t>
      </w:r>
    </w:p>
    <w:p>
      <w:pPr>
        <w:spacing w:line="580" w:lineRule="exact"/>
        <w:rPr>
          <w:rFonts w:ascii="Times New Roman" w:hAnsi="Times New Roman" w:eastAsia="仿宋_GB2312"/>
          <w:sz w:val="30"/>
          <w:szCs w:val="30"/>
        </w:rPr>
      </w:pPr>
      <w:r>
        <w:rPr>
          <w:rFonts w:ascii="Times New Roman" w:hAnsi="Times New Roman" w:eastAsia="仿宋_GB2312"/>
          <w:sz w:val="30"/>
          <w:szCs w:val="30"/>
        </w:rPr>
        <w:t xml:space="preserve"> </w:t>
      </w:r>
    </w:p>
    <w:p>
      <w:pPr>
        <w:spacing w:line="580" w:lineRule="exact"/>
        <w:rPr>
          <w:rFonts w:ascii="Times New Roman" w:hAnsi="Times New Roman" w:eastAsia="仿宋_GB2312"/>
          <w:sz w:val="30"/>
          <w:szCs w:val="30"/>
        </w:rPr>
      </w:pPr>
    </w:p>
    <w:p>
      <w:pPr>
        <w:spacing w:line="580" w:lineRule="exact"/>
        <w:rPr>
          <w:rFonts w:ascii="Times New Roman" w:hAnsi="Times New Roman" w:eastAsia="仿宋_GB2312"/>
          <w:sz w:val="30"/>
          <w:szCs w:val="30"/>
        </w:rPr>
      </w:pPr>
    </w:p>
    <w:p>
      <w:pPr>
        <w:spacing w:line="580" w:lineRule="exact"/>
        <w:rPr>
          <w:rFonts w:ascii="Times New Roman" w:hAnsi="Times New Roman" w:eastAsia="仿宋_GB2312"/>
          <w:sz w:val="30"/>
          <w:szCs w:val="30"/>
        </w:rPr>
      </w:pPr>
    </w:p>
    <w:p>
      <w:pPr>
        <w:spacing w:line="580" w:lineRule="exact"/>
        <w:rPr>
          <w:rFonts w:ascii="Times New Roman" w:hAnsi="Times New Roman" w:eastAsia="仿宋_GB2312"/>
          <w:sz w:val="30"/>
          <w:szCs w:val="30"/>
        </w:rPr>
      </w:pPr>
    </w:p>
    <w:p>
      <w:pPr>
        <w:spacing w:line="580" w:lineRule="exact"/>
        <w:rPr>
          <w:rFonts w:ascii="Times New Roman" w:hAnsi="Times New Roman" w:eastAsia="仿宋_GB2312"/>
          <w:sz w:val="30"/>
          <w:szCs w:val="30"/>
        </w:rPr>
      </w:pPr>
    </w:p>
    <w:p>
      <w:pPr>
        <w:spacing w:line="580" w:lineRule="exact"/>
        <w:rPr>
          <w:rFonts w:ascii="Times New Roman" w:hAnsi="Times New Roman" w:eastAsia="仿宋_GB2312"/>
          <w:sz w:val="30"/>
          <w:szCs w:val="30"/>
        </w:rPr>
      </w:pPr>
    </w:p>
    <w:p>
      <w:pPr>
        <w:spacing w:line="580" w:lineRule="exact"/>
        <w:rPr>
          <w:rFonts w:ascii="Times New Roman" w:hAnsi="Times New Roman" w:eastAsia="仿宋_GB2312"/>
          <w:sz w:val="30"/>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B1385"/>
    <w:multiLevelType w:val="multilevel"/>
    <w:tmpl w:val="316B1385"/>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AB542F"/>
    <w:rsid w:val="322D0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2019-11-25T06:47:02Z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